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61E46" w14:textId="0E5CE9EF" w:rsidR="001B4125" w:rsidRPr="002A3D67" w:rsidRDefault="00516AFE" w:rsidP="007F4401">
      <w:pPr>
        <w:outlineLvl w:val="0"/>
      </w:pPr>
      <w:r>
        <w:t xml:space="preserve">Raymond Carlson and </w:t>
      </w:r>
      <w:r w:rsidR="00100430" w:rsidRPr="002A3D67">
        <w:t>Jordan Katz</w:t>
      </w:r>
    </w:p>
    <w:p w14:paraId="00F28DDA" w14:textId="637C5556" w:rsidR="001B4125" w:rsidRPr="002A3D67" w:rsidRDefault="00516AFE" w:rsidP="004B7477">
      <w:r>
        <w:t>Making and</w:t>
      </w:r>
      <w:r w:rsidR="001B4125" w:rsidRPr="002A3D67">
        <w:t xml:space="preserve"> Knowing Project</w:t>
      </w:r>
    </w:p>
    <w:p w14:paraId="3C80D7BE" w14:textId="77777777" w:rsidR="001B4125" w:rsidRPr="002A3D67" w:rsidRDefault="001B4125" w:rsidP="004B7477">
      <w:pPr>
        <w:rPr>
          <w:b/>
        </w:rPr>
      </w:pPr>
    </w:p>
    <w:p w14:paraId="551380CB" w14:textId="009543B8" w:rsidR="00130BC9" w:rsidRPr="002A3D67" w:rsidRDefault="001B4125" w:rsidP="007F4401">
      <w:pPr>
        <w:jc w:val="center"/>
        <w:outlineLvl w:val="0"/>
        <w:rPr>
          <w:b/>
          <w:u w:val="single"/>
        </w:rPr>
      </w:pPr>
      <w:r w:rsidRPr="002A3D67">
        <w:rPr>
          <w:b/>
          <w:u w:val="single"/>
        </w:rPr>
        <w:t xml:space="preserve">Annotation for BnF Ms. Fr. 640, fol. </w:t>
      </w:r>
      <w:r w:rsidR="00130BC9" w:rsidRPr="002A3D67">
        <w:rPr>
          <w:b/>
          <w:u w:val="single"/>
        </w:rPr>
        <w:t>131r:</w:t>
      </w:r>
    </w:p>
    <w:p w14:paraId="0BD12C87" w14:textId="1B334315" w:rsidR="001B4125" w:rsidRPr="002A3D67" w:rsidRDefault="00130BC9" w:rsidP="007F4401">
      <w:pPr>
        <w:jc w:val="center"/>
        <w:outlineLvl w:val="0"/>
        <w:rPr>
          <w:rFonts w:cs="Times New Roman"/>
          <w:b/>
          <w:u w:val="single"/>
        </w:rPr>
      </w:pPr>
      <w:r w:rsidRPr="002A3D67">
        <w:rPr>
          <w:rFonts w:cs="Times New Roman"/>
          <w:b/>
          <w:u w:val="single"/>
        </w:rPr>
        <w:t>“Molded letter paper”</w:t>
      </w:r>
    </w:p>
    <w:p w14:paraId="0B4BC0E8" w14:textId="77777777" w:rsidR="00100430" w:rsidRPr="002A3D67" w:rsidRDefault="00100430" w:rsidP="00130BC9">
      <w:pPr>
        <w:jc w:val="center"/>
        <w:rPr>
          <w:rFonts w:cs="Times New Roman"/>
        </w:rPr>
      </w:pPr>
    </w:p>
    <w:p w14:paraId="129C5B88" w14:textId="6A46C07B" w:rsidR="00100430" w:rsidRPr="002A3D67" w:rsidRDefault="00100430" w:rsidP="007F4401">
      <w:pPr>
        <w:outlineLvl w:val="0"/>
        <w:rPr>
          <w:rFonts w:cs="Times New Roman"/>
          <w:b/>
          <w:u w:val="single"/>
        </w:rPr>
      </w:pPr>
      <w:r w:rsidRPr="002A3D67">
        <w:rPr>
          <w:rFonts w:cs="Times New Roman"/>
          <w:b/>
          <w:u w:val="single"/>
        </w:rPr>
        <w:t>BnF Ms. Fr. 640, fol. 131r</w:t>
      </w:r>
    </w:p>
    <w:p w14:paraId="24EF8A84" w14:textId="77777777" w:rsidR="007B2AA3" w:rsidRPr="002A3D67" w:rsidRDefault="007B2AA3" w:rsidP="00100430">
      <w:pPr>
        <w:rPr>
          <w:rFonts w:cs="Times New Roman"/>
        </w:rPr>
      </w:pPr>
    </w:p>
    <w:p w14:paraId="6449FD64" w14:textId="14A1B303" w:rsidR="00100430" w:rsidRPr="002A3D67" w:rsidRDefault="00121537" w:rsidP="007F4401">
      <w:pPr>
        <w:outlineLvl w:val="0"/>
        <w:rPr>
          <w:rFonts w:cs="Times New Roman"/>
          <w:b/>
        </w:rPr>
      </w:pPr>
      <w:r w:rsidRPr="002A3D67">
        <w:rPr>
          <w:rFonts w:cs="Times New Roman"/>
          <w:b/>
        </w:rPr>
        <w:t xml:space="preserve">Normalized </w:t>
      </w:r>
      <w:r w:rsidR="007B2AA3" w:rsidRPr="002A3D67">
        <w:rPr>
          <w:rFonts w:cs="Times New Roman"/>
          <w:b/>
        </w:rPr>
        <w:t>Transcription:</w:t>
      </w:r>
    </w:p>
    <w:p w14:paraId="742F3C85" w14:textId="42F151CD" w:rsidR="00121537" w:rsidRPr="002A3D67" w:rsidRDefault="00121537" w:rsidP="007F4401">
      <w:pPr>
        <w:outlineLvl w:val="0"/>
        <w:rPr>
          <w:rFonts w:cs="Times New Roman"/>
        </w:rPr>
      </w:pPr>
      <w:r w:rsidRPr="002A3D67">
        <w:rPr>
          <w:rFonts w:cs="Times New Roman"/>
          <w:color w:val="000000"/>
        </w:rPr>
        <w:t xml:space="preserve">L{ett}re et </w:t>
      </w:r>
      <w:r w:rsidRPr="002A3D67">
        <w:rPr>
          <w:rFonts w:cs="Times New Roman"/>
          <w:bCs/>
          <w:color w:val="000000"/>
        </w:rPr>
        <w:t>papier</w:t>
      </w:r>
      <w:r w:rsidRPr="002A3D67">
        <w:rPr>
          <w:rFonts w:cs="Times New Roman"/>
          <w:color w:val="000000"/>
        </w:rPr>
        <w:t xml:space="preserve"> moulé</w:t>
      </w:r>
    </w:p>
    <w:p w14:paraId="5331AA8F" w14:textId="77777777" w:rsidR="00121537" w:rsidRPr="002A3D67" w:rsidRDefault="00121537" w:rsidP="00121537">
      <w:pPr>
        <w:rPr>
          <w:rFonts w:eastAsia="Times New Roman" w:cs="Times New Roman"/>
        </w:rPr>
      </w:pPr>
    </w:p>
    <w:p w14:paraId="058ACD42" w14:textId="68C75955" w:rsidR="00100430" w:rsidRPr="002A3D67" w:rsidRDefault="00121537" w:rsidP="00121537">
      <w:pPr>
        <w:rPr>
          <w:rFonts w:cs="Times New Roman"/>
        </w:rPr>
      </w:pPr>
      <w:r w:rsidRPr="002A3D67">
        <w:rPr>
          <w:rFonts w:cs="Times New Roman"/>
          <w:color w:val="000000"/>
        </w:rPr>
        <w:t xml:space="preserve">Escripts de quelque </w:t>
      </w:r>
      <w:r w:rsidRPr="002A3D67">
        <w:rPr>
          <w:rFonts w:cs="Times New Roman"/>
          <w:bCs/>
          <w:color w:val="000000"/>
        </w:rPr>
        <w:t>ancre</w:t>
      </w:r>
      <w:r w:rsidRPr="002A3D67">
        <w:rPr>
          <w:rFonts w:cs="Times New Roman"/>
          <w:color w:val="000000"/>
        </w:rPr>
        <w:t xml:space="preserve"> bien gommée ou de quelque </w:t>
      </w:r>
      <w:r w:rsidRPr="002A3D67">
        <w:rPr>
          <w:rFonts w:cs="Times New Roman"/>
          <w:bCs/>
          <w:color w:val="000000"/>
        </w:rPr>
        <w:t>couleur</w:t>
      </w:r>
      <w:r w:rsidR="002A3D67">
        <w:rPr>
          <w:rFonts w:cs="Times New Roman"/>
        </w:rPr>
        <w:t xml:space="preserve"> </w:t>
      </w:r>
      <w:r w:rsidRPr="002A3D67">
        <w:rPr>
          <w:rFonts w:cs="Times New Roman"/>
          <w:color w:val="000000"/>
        </w:rPr>
        <w:t xml:space="preserve">qui aye corps et qui ne se d’efface point estant mouillé </w:t>
      </w:r>
      <w:r w:rsidRPr="002A3D67">
        <w:rPr>
          <w:rFonts w:cs="Times New Roman"/>
          <w:bCs/>
          <w:color w:val="000000"/>
        </w:rPr>
        <w:t>d’eau</w:t>
      </w:r>
      <w:r w:rsidR="002A3D67">
        <w:rPr>
          <w:rFonts w:cs="Times New Roman"/>
        </w:rPr>
        <w:t xml:space="preserve"> </w:t>
      </w:r>
      <w:r w:rsidRPr="002A3D67">
        <w:rPr>
          <w:rFonts w:cs="Times New Roman"/>
          <w:bCs/>
          <w:color w:val="000000"/>
        </w:rPr>
        <w:t>de vye,</w:t>
      </w:r>
      <w:r w:rsidRPr="002A3D67">
        <w:rPr>
          <w:rFonts w:cs="Times New Roman"/>
          <w:color w:val="000000"/>
        </w:rPr>
        <w:t xml:space="preserve"> puys pose ton papier sur la plastre </w:t>
      </w:r>
      <w:r w:rsidRPr="002A3D67">
        <w:rPr>
          <w:rFonts w:cs="Times New Roman"/>
          <w:bCs/>
          <w:color w:val="000000"/>
        </w:rPr>
        <w:t>d’ardille</w:t>
      </w:r>
      <w:r w:rsidRPr="002A3D67">
        <w:rPr>
          <w:rFonts w:cs="Times New Roman"/>
          <w:color w:val="000000"/>
        </w:rPr>
        <w:t xml:space="preserve"> &amp; le</w:t>
      </w:r>
      <w:r w:rsidR="002A3D67">
        <w:rPr>
          <w:rFonts w:cs="Times New Roman"/>
        </w:rPr>
        <w:t xml:space="preserve"> </w:t>
      </w:r>
      <w:r w:rsidRPr="002A3D67">
        <w:rPr>
          <w:rFonts w:eastAsia="Times New Roman" w:cs="Times New Roman"/>
          <w:color w:val="000000"/>
        </w:rPr>
        <w:t xml:space="preserve">mouille </w:t>
      </w:r>
      <w:r w:rsidRPr="002A3D67">
        <w:rPr>
          <w:rFonts w:eastAsia="Times New Roman" w:cs="Times New Roman"/>
          <w:bCs/>
          <w:color w:val="000000"/>
        </w:rPr>
        <w:t>d’eau de vye,</w:t>
      </w:r>
      <w:r w:rsidRPr="002A3D67">
        <w:rPr>
          <w:rFonts w:eastAsia="Times New Roman" w:cs="Times New Roman"/>
          <w:color w:val="000000"/>
        </w:rPr>
        <w:t xml:space="preserve"> &amp; gecte d’une part et d’autre.</w:t>
      </w:r>
    </w:p>
    <w:p w14:paraId="38F10DFB" w14:textId="77777777" w:rsidR="00100430" w:rsidRPr="002A3D67" w:rsidRDefault="00100430" w:rsidP="00100430">
      <w:pPr>
        <w:rPr>
          <w:rFonts w:cs="Times New Roman"/>
          <w:b/>
        </w:rPr>
      </w:pPr>
    </w:p>
    <w:p w14:paraId="12B22815" w14:textId="77777777" w:rsidR="00100430" w:rsidRPr="002A3D67" w:rsidRDefault="00100430" w:rsidP="007F4401">
      <w:pPr>
        <w:outlineLvl w:val="0"/>
        <w:rPr>
          <w:rFonts w:cs="Times New Roman"/>
          <w:b/>
        </w:rPr>
      </w:pPr>
      <w:r w:rsidRPr="002A3D67">
        <w:rPr>
          <w:rFonts w:cs="Times New Roman"/>
          <w:b/>
        </w:rPr>
        <w:t>Translation:</w:t>
      </w:r>
    </w:p>
    <w:p w14:paraId="57B8758F" w14:textId="2EE587C7" w:rsidR="00100430" w:rsidRPr="002A3D67" w:rsidRDefault="00C67996" w:rsidP="00100430">
      <w:pPr>
        <w:rPr>
          <w:rFonts w:cs="Times New Roman"/>
        </w:rPr>
      </w:pPr>
      <w:r w:rsidRPr="002A3D67">
        <w:rPr>
          <w:rFonts w:cs="Times New Roman"/>
        </w:rPr>
        <w:t>[NB: A proposed correction</w:t>
      </w:r>
      <w:r w:rsidR="004F5521" w:rsidRPr="002A3D67">
        <w:rPr>
          <w:rFonts w:cs="Times New Roman"/>
        </w:rPr>
        <w:t xml:space="preserve"> to the current online translation</w:t>
      </w:r>
      <w:r w:rsidR="00100430" w:rsidRPr="002A3D67">
        <w:rPr>
          <w:rFonts w:cs="Times New Roman"/>
        </w:rPr>
        <w:t xml:space="preserve"> </w:t>
      </w:r>
      <w:r w:rsidRPr="002A3D67">
        <w:rPr>
          <w:rFonts w:cs="Times New Roman"/>
        </w:rPr>
        <w:t>has</w:t>
      </w:r>
      <w:r w:rsidR="00100430" w:rsidRPr="002A3D67">
        <w:rPr>
          <w:rFonts w:cs="Times New Roman"/>
        </w:rPr>
        <w:t xml:space="preserve"> been inserted into the text, underlined, and footnoted</w:t>
      </w:r>
      <w:r w:rsidR="003E57F5" w:rsidRPr="002A3D67">
        <w:rPr>
          <w:rFonts w:cs="Times New Roman"/>
        </w:rPr>
        <w:t xml:space="preserve"> here</w:t>
      </w:r>
      <w:r w:rsidR="00100430" w:rsidRPr="002A3D67">
        <w:rPr>
          <w:rFonts w:cs="Times New Roman"/>
        </w:rPr>
        <w:t>.]</w:t>
      </w:r>
    </w:p>
    <w:p w14:paraId="5AEC0F4D" w14:textId="77777777" w:rsidR="003F6A54" w:rsidRPr="002A3D67" w:rsidRDefault="003F6A54" w:rsidP="00100430">
      <w:pPr>
        <w:rPr>
          <w:rFonts w:cs="Times New Roman"/>
        </w:rPr>
      </w:pPr>
    </w:p>
    <w:p w14:paraId="2D13DB62" w14:textId="31699349" w:rsidR="003F6A54" w:rsidRPr="002A3D67" w:rsidRDefault="003F6A54" w:rsidP="00100430">
      <w:pPr>
        <w:rPr>
          <w:rFonts w:cs="Times New Roman"/>
        </w:rPr>
      </w:pPr>
      <w:r w:rsidRPr="002A3D67">
        <w:rPr>
          <w:rFonts w:eastAsia="Times New Roman" w:cs="Times New Roman"/>
          <w:color w:val="000000"/>
        </w:rPr>
        <w:t xml:space="preserve">Write with some </w:t>
      </w:r>
      <w:r w:rsidR="007B2AA3" w:rsidRPr="002A3D67">
        <w:rPr>
          <w:rFonts w:eastAsia="Times New Roman" w:cs="Times New Roman"/>
          <w:color w:val="000000"/>
          <w:u w:val="single"/>
        </w:rPr>
        <w:t>well-gummed</w:t>
      </w:r>
      <w:r w:rsidR="007B2AA3" w:rsidRPr="002A3D67">
        <w:rPr>
          <w:rStyle w:val="FootnoteReference"/>
          <w:rFonts w:eastAsia="Times New Roman" w:cs="Times New Roman"/>
          <w:color w:val="000000"/>
        </w:rPr>
        <w:footnoteReference w:id="1"/>
      </w:r>
      <w:r w:rsidR="007B2AA3" w:rsidRPr="002A3D67">
        <w:rPr>
          <w:rFonts w:eastAsia="Times New Roman" w:cs="Times New Roman"/>
          <w:color w:val="000000"/>
        </w:rPr>
        <w:t xml:space="preserve"> </w:t>
      </w:r>
      <w:r w:rsidRPr="002A3D67">
        <w:rPr>
          <w:rFonts w:eastAsia="Times New Roman" w:cs="Times New Roman"/>
          <w:bCs/>
          <w:color w:val="000000"/>
        </w:rPr>
        <w:t>ink</w:t>
      </w:r>
      <w:r w:rsidR="007B2AA3" w:rsidRPr="002A3D67">
        <w:rPr>
          <w:rFonts w:eastAsia="Times New Roman" w:cs="Times New Roman"/>
          <w:color w:val="000000"/>
        </w:rPr>
        <w:t xml:space="preserve"> </w:t>
      </w:r>
      <w:r w:rsidRPr="002A3D67">
        <w:rPr>
          <w:rFonts w:eastAsia="Times New Roman" w:cs="Times New Roman"/>
          <w:color w:val="000000"/>
        </w:rPr>
        <w:t xml:space="preserve">or any other </w:t>
      </w:r>
      <w:r w:rsidRPr="002A3D67">
        <w:rPr>
          <w:rFonts w:eastAsia="Times New Roman" w:cs="Times New Roman"/>
          <w:bCs/>
          <w:color w:val="000000"/>
        </w:rPr>
        <w:t>color dye</w:t>
      </w:r>
      <w:r w:rsidRPr="002A3D67">
        <w:rPr>
          <w:rFonts w:eastAsia="Times New Roman" w:cs="Times New Roman"/>
          <w:color w:val="000000"/>
        </w:rPr>
        <w:t xml:space="preserve"> which has body, and which is not erased if dampened with brandy. Then put your paper on the sheet of clay, and dampen it with </w:t>
      </w:r>
      <w:r w:rsidRPr="002A3D67">
        <w:rPr>
          <w:rFonts w:eastAsia="Times New Roman" w:cs="Times New Roman"/>
          <w:bCs/>
          <w:color w:val="000000"/>
        </w:rPr>
        <w:t>brandy</w:t>
      </w:r>
      <w:r w:rsidRPr="002A3D67">
        <w:rPr>
          <w:rFonts w:eastAsia="Times New Roman" w:cs="Times New Roman"/>
          <w:color w:val="000000"/>
        </w:rPr>
        <w:t>. Cast both sides [of paper].</w:t>
      </w:r>
    </w:p>
    <w:p w14:paraId="5A82D72C" w14:textId="77777777" w:rsidR="00100430" w:rsidRPr="002A3D67" w:rsidRDefault="00100430" w:rsidP="00100430">
      <w:pPr>
        <w:rPr>
          <w:b/>
        </w:rPr>
      </w:pPr>
    </w:p>
    <w:p w14:paraId="743439DA" w14:textId="77777777" w:rsidR="00100430" w:rsidRPr="002A3D67" w:rsidRDefault="00100430" w:rsidP="00130BC9">
      <w:pPr>
        <w:jc w:val="center"/>
      </w:pPr>
    </w:p>
    <w:p w14:paraId="4E2D6E56" w14:textId="3FEEA871" w:rsidR="00C67996" w:rsidRPr="002A3D67" w:rsidRDefault="00B96BD8" w:rsidP="007F4401">
      <w:pPr>
        <w:outlineLvl w:val="0"/>
        <w:rPr>
          <w:b/>
          <w:u w:val="single"/>
        </w:rPr>
      </w:pPr>
      <w:r w:rsidRPr="002A3D67">
        <w:rPr>
          <w:b/>
          <w:u w:val="single"/>
        </w:rPr>
        <w:t>Annotation</w:t>
      </w:r>
    </w:p>
    <w:p w14:paraId="41C0D0AA" w14:textId="77777777" w:rsidR="00C67996" w:rsidRPr="002A3D67" w:rsidRDefault="00C67996" w:rsidP="00C67996">
      <w:pPr>
        <w:rPr>
          <w:b/>
        </w:rPr>
      </w:pPr>
    </w:p>
    <w:p w14:paraId="69E9E4E3" w14:textId="591BF6EA" w:rsidR="00302D09" w:rsidRPr="002A3D67" w:rsidRDefault="00130BC9" w:rsidP="00975A0F">
      <w:pPr>
        <w:spacing w:line="480" w:lineRule="auto"/>
      </w:pPr>
      <w:r w:rsidRPr="002A3D67">
        <w:tab/>
        <w:t>The recipe “Molded letter paper”</w:t>
      </w:r>
      <w:r w:rsidR="003C54AC" w:rsidRPr="002A3D67">
        <w:t xml:space="preserve"> on fol. 131r</w:t>
      </w:r>
      <w:r w:rsidRPr="002A3D67">
        <w:t xml:space="preserve"> explains in just </w:t>
      </w:r>
      <w:r w:rsidR="00972E14" w:rsidRPr="002A3D67">
        <w:t>one sentence</w:t>
      </w:r>
      <w:r w:rsidRPr="002A3D67">
        <w:t xml:space="preserve"> the process of laying</w:t>
      </w:r>
      <w:r w:rsidR="00007782" w:rsidRPr="002A3D67">
        <w:t xml:space="preserve"> thick</w:t>
      </w:r>
      <w:r w:rsidRPr="002A3D67">
        <w:t xml:space="preserve"> ink onto a piece of paper and casting it into clay.</w:t>
      </w:r>
      <w:r w:rsidR="00886CC4" w:rsidRPr="002A3D67">
        <w:rPr>
          <w:rStyle w:val="FootnoteReference"/>
        </w:rPr>
        <w:footnoteReference w:id="2"/>
      </w:r>
      <w:r w:rsidRPr="002A3D67">
        <w:t xml:space="preserve"> </w:t>
      </w:r>
      <w:r w:rsidR="002B64AA" w:rsidRPr="002A3D67">
        <w:t xml:space="preserve">The recipe is without </w:t>
      </w:r>
      <w:r w:rsidR="008E5EF4" w:rsidRPr="002A3D67">
        <w:t>exact</w:t>
      </w:r>
      <w:r w:rsidR="002B64AA" w:rsidRPr="002A3D67">
        <w:t xml:space="preserve"> precedent in previous written sources, and the recipe does not </w:t>
      </w:r>
      <w:r w:rsidR="00422D9E" w:rsidRPr="002A3D67">
        <w:t>clarify</w:t>
      </w:r>
      <w:r w:rsidR="002B64AA" w:rsidRPr="002A3D67">
        <w:t xml:space="preserve"> its intended </w:t>
      </w:r>
      <w:r w:rsidR="00B0074C" w:rsidRPr="002A3D67">
        <w:t>final</w:t>
      </w:r>
      <w:r w:rsidR="002B64AA" w:rsidRPr="002A3D67">
        <w:t xml:space="preserve"> product. While a reconstruction of this recipe sheds light on </w:t>
      </w:r>
      <w:r w:rsidR="00422D9E" w:rsidRPr="002A3D67">
        <w:t>its</w:t>
      </w:r>
      <w:r w:rsidR="002B64AA" w:rsidRPr="002A3D67">
        <w:t xml:space="preserve"> possible outcome, the limited nature of the text suggests that the recipe was not a subject of careful experimentation. Rather, as this entry will demonstrate, this recipe </w:t>
      </w:r>
      <w:r w:rsidR="00A27142" w:rsidRPr="002A3D67">
        <w:t>likely</w:t>
      </w:r>
      <w:r w:rsidR="00463011" w:rsidRPr="002A3D67">
        <w:t xml:space="preserve"> </w:t>
      </w:r>
      <w:r w:rsidR="00E7761C" w:rsidRPr="002A3D67">
        <w:t>represents</w:t>
      </w:r>
      <w:r w:rsidR="00816BFE" w:rsidRPr="002A3D67">
        <w:t xml:space="preserve"> a less-</w:t>
      </w:r>
      <w:r w:rsidR="00392551" w:rsidRPr="002A3D67">
        <w:t>developed</w:t>
      </w:r>
      <w:r w:rsidR="00463011" w:rsidRPr="002A3D67">
        <w:t xml:space="preserve"> </w:t>
      </w:r>
      <w:r w:rsidR="00953EAC" w:rsidRPr="002A3D67">
        <w:t>idea</w:t>
      </w:r>
      <w:r w:rsidR="00A27142" w:rsidRPr="002A3D67">
        <w:t xml:space="preserve"> inspired by</w:t>
      </w:r>
      <w:r w:rsidR="00816BFE" w:rsidRPr="002A3D67">
        <w:t xml:space="preserve"> </w:t>
      </w:r>
      <w:r w:rsidR="006E6AE3" w:rsidRPr="002A3D67">
        <w:t>two</w:t>
      </w:r>
      <w:r w:rsidR="00A27142" w:rsidRPr="002A3D67">
        <w:t xml:space="preserve"> </w:t>
      </w:r>
      <w:r w:rsidR="00816BFE" w:rsidRPr="002A3D67">
        <w:t xml:space="preserve">broader </w:t>
      </w:r>
      <w:r w:rsidR="00A27142" w:rsidRPr="002A3D67">
        <w:lastRenderedPageBreak/>
        <w:t xml:space="preserve">groups of recipes in the manuscript: those related to the casting of thin substances and those related to </w:t>
      </w:r>
      <w:r w:rsidR="00C401FF" w:rsidRPr="002A3D67">
        <w:t>writing tricks.</w:t>
      </w:r>
    </w:p>
    <w:p w14:paraId="77AD65B3" w14:textId="0CF38C1E" w:rsidR="00EE7005" w:rsidRPr="002A3D67" w:rsidRDefault="00953EAC" w:rsidP="00975A0F">
      <w:pPr>
        <w:spacing w:line="480" w:lineRule="auto"/>
      </w:pPr>
      <w:r w:rsidRPr="002A3D67">
        <w:tab/>
      </w:r>
      <w:r w:rsidR="00065562" w:rsidRPr="002A3D67">
        <w:t xml:space="preserve">The </w:t>
      </w:r>
      <w:r w:rsidR="00302D09" w:rsidRPr="002A3D67">
        <w:t>recipe begins by calling for writing that uses either well-gummed ink (“</w:t>
      </w:r>
      <w:r w:rsidR="00302D09" w:rsidRPr="002A3D67">
        <w:rPr>
          <w:i/>
        </w:rPr>
        <w:t>encre bien gommé</w:t>
      </w:r>
      <w:r w:rsidR="003C5CFE" w:rsidRPr="002A3D67">
        <w:rPr>
          <w:i/>
        </w:rPr>
        <w:t>e</w:t>
      </w:r>
      <w:r w:rsidR="00302D09" w:rsidRPr="002A3D67">
        <w:t xml:space="preserve">”) or a colored </w:t>
      </w:r>
      <w:r w:rsidR="0061274E" w:rsidRPr="002A3D67">
        <w:t>liquid</w:t>
      </w:r>
      <w:r w:rsidR="00302D09" w:rsidRPr="002A3D67">
        <w:t xml:space="preserve"> with body (“</w:t>
      </w:r>
      <w:r w:rsidR="00302D09" w:rsidRPr="002A3D67">
        <w:rPr>
          <w:i/>
        </w:rPr>
        <w:t>quelque couleur qui aye corps</w:t>
      </w:r>
      <w:r w:rsidR="00302D09" w:rsidRPr="002A3D67">
        <w:t>”)</w:t>
      </w:r>
      <w:r w:rsidR="0061274E" w:rsidRPr="002A3D67">
        <w:t>.</w:t>
      </w:r>
      <w:r w:rsidR="00B96BD8" w:rsidRPr="002A3D67">
        <w:t xml:space="preserve"> Immediately evident is the priority given to the viscosity of the writing liquid rather than its appearance</w:t>
      </w:r>
      <w:r w:rsidR="005D2675" w:rsidRPr="002A3D67">
        <w:t xml:space="preserve">, which </w:t>
      </w:r>
      <w:r w:rsidR="006F4183" w:rsidRPr="002A3D67">
        <w:t>implies</w:t>
      </w:r>
      <w:r w:rsidR="001678B0" w:rsidRPr="002A3D67">
        <w:t xml:space="preserve"> that t</w:t>
      </w:r>
      <w:r w:rsidR="006F4183" w:rsidRPr="002A3D67">
        <w:t>he</w:t>
      </w:r>
      <w:r w:rsidR="001678B0" w:rsidRPr="002A3D67">
        <w:t xml:space="preserve"> </w:t>
      </w:r>
      <w:r w:rsidR="006F4183" w:rsidRPr="002A3D67">
        <w:t>paper</w:t>
      </w:r>
      <w:r w:rsidR="001678B0" w:rsidRPr="002A3D67">
        <w:t xml:space="preserve"> onto which the ink is </w:t>
      </w:r>
      <w:r w:rsidR="00084352" w:rsidRPr="002A3D67">
        <w:t>laid</w:t>
      </w:r>
      <w:r w:rsidR="006F4183" w:rsidRPr="002A3D67">
        <w:t xml:space="preserve"> is a </w:t>
      </w:r>
      <w:r w:rsidR="00492499" w:rsidRPr="002A3D67">
        <w:t>disposable</w:t>
      </w:r>
      <w:r w:rsidR="008F70F0" w:rsidRPr="002A3D67">
        <w:t xml:space="preserve"> </w:t>
      </w:r>
      <w:r w:rsidR="00492499" w:rsidRPr="002A3D67">
        <w:t>byproduct</w:t>
      </w:r>
      <w:r w:rsidR="008F70F0" w:rsidRPr="002A3D67">
        <w:t xml:space="preserve"> of the making process.</w:t>
      </w:r>
      <w:r w:rsidR="00045B46" w:rsidRPr="002A3D67">
        <w:t xml:space="preserve"> </w:t>
      </w:r>
      <w:r w:rsidR="00ED39D6" w:rsidRPr="002A3D67">
        <w:t>The recipe offers no indication of how to make “</w:t>
      </w:r>
      <w:r w:rsidR="00ED39D6" w:rsidRPr="002A3D67">
        <w:rPr>
          <w:i/>
        </w:rPr>
        <w:t>encre bien gomm</w:t>
      </w:r>
      <w:r w:rsidR="003C5CFE" w:rsidRPr="002A3D67">
        <w:rPr>
          <w:i/>
        </w:rPr>
        <w:t>ée</w:t>
      </w:r>
      <w:r w:rsidR="00ED39D6" w:rsidRPr="002A3D67">
        <w:t xml:space="preserve">,” although for a contemporary reader, this would have likely been a straightforward process. </w:t>
      </w:r>
    </w:p>
    <w:p w14:paraId="73C0C6C7" w14:textId="58B30A31" w:rsidR="00066D4F" w:rsidRPr="002A3D67" w:rsidRDefault="00EE7005" w:rsidP="00975A0F">
      <w:pPr>
        <w:spacing w:line="480" w:lineRule="auto"/>
      </w:pPr>
      <w:r w:rsidRPr="002A3D67">
        <w:tab/>
      </w:r>
      <w:r w:rsidR="009679A2" w:rsidRPr="002A3D67">
        <w:t xml:space="preserve">As Jo Wheeler has noted, </w:t>
      </w:r>
      <w:r w:rsidR="00B85E9E" w:rsidRPr="002A3D67">
        <w:t>t</w:t>
      </w:r>
      <w:r w:rsidR="00ED39D6" w:rsidRPr="002A3D67">
        <w:t xml:space="preserve">he majority of surviving Renaissance ink recipes are related to the making of </w:t>
      </w:r>
      <w:r w:rsidR="007F4401">
        <w:t>iron gall</w:t>
      </w:r>
      <w:r w:rsidR="00ED39D6" w:rsidRPr="002A3D67">
        <w:t xml:space="preserve"> ink</w:t>
      </w:r>
      <w:r w:rsidR="009679A2" w:rsidRPr="002A3D67">
        <w:t xml:space="preserve">, </w:t>
      </w:r>
      <w:r w:rsidR="00ED39D6" w:rsidRPr="002A3D67">
        <w:t xml:space="preserve">which was used since the twelfth century and involved a combination of iron salts </w:t>
      </w:r>
      <w:r w:rsidR="00A20752" w:rsidRPr="002A3D67">
        <w:t>with</w:t>
      </w:r>
      <w:r w:rsidR="00ED39D6" w:rsidRPr="002A3D67">
        <w:t xml:space="preserve"> gall from animal or plant sources.</w:t>
      </w:r>
      <w:r w:rsidR="00ED39D6" w:rsidRPr="002A3D67">
        <w:rPr>
          <w:rStyle w:val="FootnoteReference"/>
        </w:rPr>
        <w:footnoteReference w:id="3"/>
      </w:r>
      <w:r w:rsidR="00226FF1" w:rsidRPr="002A3D67">
        <w:t xml:space="preserve"> </w:t>
      </w:r>
      <w:r w:rsidRPr="002A3D67">
        <w:rPr>
          <w:rFonts w:eastAsia="Times New Roman" w:cs="Times New Roman"/>
          <w:color w:val="222222"/>
          <w:shd w:val="clear" w:color="auto" w:fill="FFFFFF"/>
        </w:rPr>
        <w:t xml:space="preserve">A common </w:t>
      </w:r>
      <w:r w:rsidR="00D010D6" w:rsidRPr="002A3D67">
        <w:rPr>
          <w:rFonts w:eastAsia="Times New Roman" w:cs="Times New Roman"/>
          <w:color w:val="222222"/>
          <w:shd w:val="clear" w:color="auto" w:fill="FFFFFF"/>
        </w:rPr>
        <w:t>source</w:t>
      </w:r>
      <w:r w:rsidRPr="002A3D67">
        <w:rPr>
          <w:rFonts w:eastAsia="Times New Roman" w:cs="Times New Roman"/>
          <w:color w:val="222222"/>
          <w:shd w:val="clear" w:color="auto" w:fill="FFFFFF"/>
        </w:rPr>
        <w:t xml:space="preserve"> in which to locate such recipes are Renaissance books of secrets.</w:t>
      </w:r>
      <w:r w:rsidR="007E6736" w:rsidRPr="002A3D67">
        <w:rPr>
          <w:rStyle w:val="FootnoteReference"/>
          <w:rFonts w:eastAsia="Times New Roman" w:cs="Times New Roman"/>
          <w:color w:val="222222"/>
          <w:shd w:val="clear" w:color="auto" w:fill="FFFFFF"/>
        </w:rPr>
        <w:footnoteReference w:id="4"/>
      </w:r>
      <w:r w:rsidRPr="002A3D67">
        <w:rPr>
          <w:rFonts w:eastAsia="Times New Roman" w:cs="Times New Roman"/>
          <w:color w:val="222222"/>
          <w:shd w:val="clear" w:color="auto" w:fill="FFFFFF"/>
        </w:rPr>
        <w:t xml:space="preserve"> The </w:t>
      </w:r>
      <w:r w:rsidRPr="002A3D67">
        <w:rPr>
          <w:rFonts w:eastAsia="Times New Roman" w:cs="Times New Roman"/>
          <w:i/>
          <w:color w:val="222222"/>
          <w:shd w:val="clear" w:color="auto" w:fill="FFFFFF"/>
        </w:rPr>
        <w:t>De Secreti</w:t>
      </w:r>
      <w:r w:rsidRPr="002A3D67">
        <w:rPr>
          <w:rFonts w:eastAsia="Times New Roman" w:cs="Times New Roman"/>
          <w:color w:val="222222"/>
          <w:shd w:val="clear" w:color="auto" w:fill="FFFFFF"/>
        </w:rPr>
        <w:t> of Alessio Piemontese (1555), for example, is filled with numerous ink recipes, each with different merits (cost-effective ink,</w:t>
      </w:r>
      <w:r w:rsidR="00832AAF">
        <w:rPr>
          <w:rFonts w:eastAsia="Times New Roman" w:cs="Times New Roman"/>
          <w:color w:val="222222"/>
          <w:shd w:val="clear" w:color="auto" w:fill="FFFFFF"/>
        </w:rPr>
        <w:t xml:space="preserve"> white ink, etc.). One recipe, “</w:t>
      </w:r>
      <w:r w:rsidRPr="002A3D67">
        <w:rPr>
          <w:rFonts w:eastAsia="Times New Roman" w:cs="Times New Roman"/>
          <w:color w:val="222222"/>
          <w:shd w:val="clear" w:color="auto" w:fill="FFFFFF"/>
        </w:rPr>
        <w:t>To make ink to write that will allow you to make a large quantity, and very quickly, and at very little expense, and that will be perfect. And to</w:t>
      </w:r>
      <w:r w:rsidR="00832AAF">
        <w:rPr>
          <w:rFonts w:eastAsia="Times New Roman" w:cs="Times New Roman"/>
          <w:color w:val="222222"/>
          <w:shd w:val="clear" w:color="auto" w:fill="FFFFFF"/>
        </w:rPr>
        <w:t xml:space="preserve"> make furthermore ink to print,”</w:t>
      </w:r>
      <w:r w:rsidRPr="002A3D67">
        <w:rPr>
          <w:rFonts w:eastAsia="Times New Roman" w:cs="Times New Roman"/>
          <w:color w:val="222222"/>
          <w:shd w:val="clear" w:color="auto" w:fill="FFFFFF"/>
        </w:rPr>
        <w:t xml:space="preserve"> calls for the primary ingredient of fish gall, particularly that from ocean regions such as Venice.</w:t>
      </w:r>
      <w:r w:rsidRPr="002A3D67">
        <w:rPr>
          <w:rStyle w:val="FootnoteReference"/>
          <w:rFonts w:eastAsia="Times New Roman" w:cs="Times New Roman"/>
          <w:color w:val="222222"/>
          <w:shd w:val="clear" w:color="auto" w:fill="FFFFFF"/>
        </w:rPr>
        <w:footnoteReference w:id="5"/>
      </w:r>
      <w:r w:rsidRPr="002A3D67">
        <w:rPr>
          <w:rFonts w:eastAsia="Times New Roman" w:cs="Times New Roman"/>
          <w:color w:val="222222"/>
          <w:shd w:val="clear" w:color="auto" w:fill="FFFFFF"/>
        </w:rPr>
        <w:t xml:space="preserve"> To improve an ink of simple fish gall, the </w:t>
      </w:r>
      <w:r w:rsidRPr="002A3D67">
        <w:rPr>
          <w:rFonts w:eastAsia="Times New Roman" w:cs="Times New Roman"/>
          <w:i/>
          <w:iCs/>
          <w:color w:val="222222"/>
          <w:shd w:val="clear" w:color="auto" w:fill="FFFFFF"/>
        </w:rPr>
        <w:t>De Secreti</w:t>
      </w:r>
      <w:r w:rsidRPr="002A3D67">
        <w:rPr>
          <w:rFonts w:eastAsia="Times New Roman" w:cs="Times New Roman"/>
          <w:color w:val="222222"/>
          <w:shd w:val="clear" w:color="auto" w:fill="FFFFFF"/>
        </w:rPr>
        <w:t> calls for adding dust of cuttlefish or dried fish, charcoal, glass, gall, and gum (</w:t>
      </w:r>
      <w:r w:rsidRPr="002A3D67">
        <w:rPr>
          <w:rFonts w:eastAsia="Times New Roman" w:cs="Times New Roman"/>
          <w:i/>
          <w:iCs/>
          <w:color w:val="222222"/>
          <w:shd w:val="clear" w:color="auto" w:fill="FFFFFF"/>
        </w:rPr>
        <w:t>gomma</w:t>
      </w:r>
      <w:r w:rsidRPr="002A3D67">
        <w:rPr>
          <w:rFonts w:eastAsia="Times New Roman" w:cs="Times New Roman"/>
          <w:color w:val="222222"/>
          <w:shd w:val="clear" w:color="auto" w:fill="FFFFFF"/>
        </w:rPr>
        <w:t>).</w:t>
      </w:r>
      <w:r w:rsidR="006D106B" w:rsidRPr="002A3D67">
        <w:rPr>
          <w:rFonts w:eastAsia="Times New Roman" w:cs="Times New Roman"/>
          <w:color w:val="222222"/>
          <w:shd w:val="clear" w:color="auto" w:fill="FFFFFF"/>
        </w:rPr>
        <w:t xml:space="preserve"> </w:t>
      </w:r>
      <w:r w:rsidR="00B85E9E" w:rsidRPr="002A3D67">
        <w:rPr>
          <w:rFonts w:eastAsia="Times New Roman" w:cs="Times New Roman"/>
          <w:color w:val="222222"/>
          <w:shd w:val="clear" w:color="auto" w:fill="FFFFFF"/>
        </w:rPr>
        <w:t xml:space="preserve">The practice of varying the ingredients in ink to fit a desired purpose or writing surface was </w:t>
      </w:r>
      <w:r w:rsidR="006B3964" w:rsidRPr="002A3D67">
        <w:rPr>
          <w:rFonts w:eastAsia="Times New Roman" w:cs="Times New Roman"/>
          <w:color w:val="222222"/>
          <w:shd w:val="clear" w:color="auto" w:fill="FFFFFF"/>
        </w:rPr>
        <w:t>therefore</w:t>
      </w:r>
      <w:r w:rsidR="00B85E9E" w:rsidRPr="002A3D67">
        <w:rPr>
          <w:rFonts w:eastAsia="Times New Roman" w:cs="Times New Roman"/>
          <w:color w:val="222222"/>
          <w:shd w:val="clear" w:color="auto" w:fill="FFFFFF"/>
        </w:rPr>
        <w:t xml:space="preserve"> common in this period.</w:t>
      </w:r>
      <w:r w:rsidR="00FC1A5A" w:rsidRPr="002A3D67">
        <w:rPr>
          <w:rFonts w:eastAsia="Times New Roman" w:cs="Times New Roman"/>
          <w:color w:val="222222"/>
          <w:shd w:val="clear" w:color="auto" w:fill="FFFFFF"/>
        </w:rPr>
        <w:t xml:space="preserve"> </w:t>
      </w:r>
      <w:r w:rsidR="00FC1A5A" w:rsidRPr="002A3D67">
        <w:t>R</w:t>
      </w:r>
      <w:r w:rsidR="00E9043C" w:rsidRPr="002A3D67">
        <w:t xml:space="preserve">ecipes in numerous books of secrets </w:t>
      </w:r>
      <w:r w:rsidR="00FC1A5A" w:rsidRPr="002A3D67">
        <w:t>call for</w:t>
      </w:r>
      <w:r w:rsidR="006B3964" w:rsidRPr="002A3D67">
        <w:t xml:space="preserve"> some</w:t>
      </w:r>
      <w:r w:rsidR="00F67B84" w:rsidRPr="002A3D67">
        <w:t xml:space="preserve"> form of gum — typically gum arabic —</w:t>
      </w:r>
      <w:r w:rsidR="00B85E9E" w:rsidRPr="002A3D67">
        <w:t xml:space="preserve"> </w:t>
      </w:r>
      <w:r w:rsidR="00FC1A5A" w:rsidRPr="002A3D67">
        <w:t>to</w:t>
      </w:r>
      <w:r w:rsidR="00B85E9E" w:rsidRPr="002A3D67">
        <w:t xml:space="preserve"> </w:t>
      </w:r>
      <w:r w:rsidR="00FC1A5A" w:rsidRPr="002A3D67">
        <w:t>be</w:t>
      </w:r>
      <w:r w:rsidR="00B85E9E" w:rsidRPr="002A3D67">
        <w:t xml:space="preserve"> added to ink to adjust its viscosity.</w:t>
      </w:r>
      <w:r w:rsidR="00B85E9E" w:rsidRPr="002A3D67">
        <w:rPr>
          <w:rStyle w:val="FootnoteReference"/>
        </w:rPr>
        <w:footnoteReference w:id="6"/>
      </w:r>
      <w:r w:rsidR="00B85E9E" w:rsidRPr="002A3D67">
        <w:t xml:space="preserve"> </w:t>
      </w:r>
      <w:r w:rsidR="00D121EF" w:rsidRPr="002A3D67">
        <w:t>To render ink “</w:t>
      </w:r>
      <w:r w:rsidR="00D121EF" w:rsidRPr="002A3D67">
        <w:rPr>
          <w:i/>
        </w:rPr>
        <w:t>bien gomm</w:t>
      </w:r>
      <w:r w:rsidR="003C5CFE" w:rsidRPr="002A3D67">
        <w:rPr>
          <w:i/>
        </w:rPr>
        <w:t>ée</w:t>
      </w:r>
      <w:r w:rsidR="00D121EF" w:rsidRPr="002A3D67">
        <w:t xml:space="preserve">,” in turn, would </w:t>
      </w:r>
      <w:r w:rsidR="006F36D2" w:rsidRPr="002A3D67">
        <w:t>likely</w:t>
      </w:r>
      <w:r w:rsidR="0062172A" w:rsidRPr="002A3D67">
        <w:t xml:space="preserve"> have</w:t>
      </w:r>
      <w:r w:rsidR="00D121EF" w:rsidRPr="002A3D67">
        <w:t xml:space="preserve"> involved </w:t>
      </w:r>
      <w:r w:rsidR="00852CDE" w:rsidRPr="002A3D67">
        <w:t>an</w:t>
      </w:r>
      <w:r w:rsidR="00D121EF" w:rsidRPr="002A3D67">
        <w:t xml:space="preserve"> </w:t>
      </w:r>
      <w:r w:rsidR="006F36D2" w:rsidRPr="002A3D67">
        <w:t>increase</w:t>
      </w:r>
      <w:r w:rsidR="00D121EF" w:rsidRPr="002A3D67">
        <w:t xml:space="preserve"> </w:t>
      </w:r>
      <w:r w:rsidR="00852CDE" w:rsidRPr="002A3D67">
        <w:t>in</w:t>
      </w:r>
      <w:r w:rsidR="00D121EF" w:rsidRPr="002A3D67">
        <w:t xml:space="preserve"> </w:t>
      </w:r>
      <w:r w:rsidR="00C127B3" w:rsidRPr="002A3D67">
        <w:t>the amount of gum in the ink</w:t>
      </w:r>
      <w:r w:rsidR="00066D4F" w:rsidRPr="002A3D67">
        <w:t>.</w:t>
      </w:r>
      <w:r w:rsidR="004F4AD0" w:rsidRPr="002A3D67">
        <w:rPr>
          <w:rStyle w:val="FootnoteReference"/>
        </w:rPr>
        <w:footnoteReference w:id="7"/>
      </w:r>
      <w:r w:rsidR="00B85E9E" w:rsidRPr="002A3D67">
        <w:t xml:space="preserve"> </w:t>
      </w:r>
    </w:p>
    <w:p w14:paraId="410AB917" w14:textId="4CCBAD64" w:rsidR="00A1339E" w:rsidRPr="002A3D67" w:rsidRDefault="00DB5EC1" w:rsidP="00975A0F">
      <w:pPr>
        <w:spacing w:line="480" w:lineRule="auto"/>
        <w:ind w:firstLine="720"/>
      </w:pPr>
      <w:r w:rsidRPr="002A3D67">
        <w:t>The manuscript itself contain</w:t>
      </w:r>
      <w:r w:rsidR="00780291" w:rsidRPr="002A3D67">
        <w:t>s</w:t>
      </w:r>
      <w:r w:rsidRPr="002A3D67">
        <w:t xml:space="preserve"> two recipes for ink </w:t>
      </w:r>
      <w:r w:rsidR="00780291" w:rsidRPr="002A3D67">
        <w:t>within a larger recipe on fol</w:t>
      </w:r>
      <w:r w:rsidR="0089726F" w:rsidRPr="002A3D67">
        <w:t>s</w:t>
      </w:r>
      <w:r w:rsidR="00780291" w:rsidRPr="002A3D67">
        <w:t>. 51r-v</w:t>
      </w:r>
      <w:r w:rsidR="0089726F" w:rsidRPr="002A3D67">
        <w:t xml:space="preserve"> for making prints using copper plates.</w:t>
      </w:r>
      <w:r w:rsidR="00C92A61" w:rsidRPr="002A3D67">
        <w:rPr>
          <w:rStyle w:val="FootnoteReference"/>
        </w:rPr>
        <w:footnoteReference w:id="8"/>
      </w:r>
      <w:r w:rsidR="0089726F" w:rsidRPr="002A3D67">
        <w:t xml:space="preserve"> </w:t>
      </w:r>
      <w:r w:rsidR="00780291" w:rsidRPr="002A3D67">
        <w:t>The two recipes</w:t>
      </w:r>
      <w:r w:rsidR="00BC2669" w:rsidRPr="002A3D67">
        <w:t xml:space="preserve"> </w:t>
      </w:r>
      <w:r w:rsidR="00780291" w:rsidRPr="002A3D67">
        <w:t>call</w:t>
      </w:r>
      <w:r w:rsidRPr="002A3D67">
        <w:t xml:space="preserve"> for</w:t>
      </w:r>
      <w:r w:rsidR="00780291" w:rsidRPr="002A3D67">
        <w:t xml:space="preserve"> using linseed and </w:t>
      </w:r>
      <w:r w:rsidRPr="002A3D67">
        <w:t>walnut oil</w:t>
      </w:r>
      <w:r w:rsidR="00AA1770" w:rsidRPr="002A3D67">
        <w:t xml:space="preserve"> </w:t>
      </w:r>
      <w:r w:rsidR="00AE6EBD" w:rsidRPr="002A3D67">
        <w:t>respectively and</w:t>
      </w:r>
      <w:r w:rsidR="009A144C" w:rsidRPr="002A3D67">
        <w:t xml:space="preserve"> combining the oil</w:t>
      </w:r>
      <w:r w:rsidR="00AA1770" w:rsidRPr="002A3D67">
        <w:t xml:space="preserve"> </w:t>
      </w:r>
      <w:r w:rsidRPr="002A3D67">
        <w:t>with</w:t>
      </w:r>
      <w:r w:rsidR="007F6713" w:rsidRPr="002A3D67">
        <w:t xml:space="preserve"> crushed</w:t>
      </w:r>
      <w:r w:rsidRPr="002A3D67">
        <w:t xml:space="preserve"> garlic cloves and bread crusts. Because </w:t>
      </w:r>
      <w:r w:rsidR="00AA1770" w:rsidRPr="002A3D67">
        <w:t>such ink was made expressly for the purpose of printing, in the reconstruction the decision was made to use a different ink</w:t>
      </w:r>
      <w:r w:rsidR="006F301A" w:rsidRPr="002A3D67">
        <w:t xml:space="preserve">. The primary properties of ink with which the author was concerned were its viscosity and its </w:t>
      </w:r>
      <w:r w:rsidR="00964163" w:rsidRPr="002A3D67">
        <w:t>pe</w:t>
      </w:r>
      <w:r w:rsidR="001B7E1C" w:rsidRPr="002A3D67">
        <w:t>rmanence</w:t>
      </w:r>
      <w:r w:rsidR="006F301A" w:rsidRPr="002A3D67">
        <w:t xml:space="preserve"> when moistened. </w:t>
      </w:r>
      <w:r w:rsidR="00923F3A" w:rsidRPr="002A3D67">
        <w:t>The recipe explicitly states that the ink must not run when wet with brandy</w:t>
      </w:r>
      <w:r w:rsidR="003E57E6" w:rsidRPr="002A3D67">
        <w:t>,</w:t>
      </w:r>
      <w:r w:rsidR="00923F3A" w:rsidRPr="002A3D67">
        <w:rPr>
          <w:rStyle w:val="FootnoteReference"/>
        </w:rPr>
        <w:footnoteReference w:id="9"/>
      </w:r>
      <w:r w:rsidR="003E57E6" w:rsidRPr="002A3D67">
        <w:t xml:space="preserve"> and </w:t>
      </w:r>
      <w:r w:rsidR="00DD5443" w:rsidRPr="002A3D67">
        <w:t xml:space="preserve">in a </w:t>
      </w:r>
      <w:r w:rsidR="003E57E6" w:rsidRPr="002A3D67">
        <w:t>marginal note</w:t>
      </w:r>
      <w:r w:rsidR="00DD5443" w:rsidRPr="002A3D67">
        <w:t xml:space="preserve"> for a later recipe</w:t>
      </w:r>
      <w:r w:rsidR="003E57E6" w:rsidRPr="002A3D67">
        <w:t xml:space="preserve"> the author </w:t>
      </w:r>
      <w:r w:rsidR="00DD5443" w:rsidRPr="002A3D67">
        <w:t xml:space="preserve">again </w:t>
      </w:r>
      <w:r w:rsidR="003E57E6" w:rsidRPr="002A3D67">
        <w:t xml:space="preserve">discusses the need to </w:t>
      </w:r>
      <w:r w:rsidR="00473FDA" w:rsidRPr="002A3D67">
        <w:t>use</w:t>
      </w:r>
      <w:r w:rsidR="003E57E6" w:rsidRPr="002A3D67">
        <w:t xml:space="preserve"> waterproof ink when molding paper.</w:t>
      </w:r>
      <w:r w:rsidR="003E57E6" w:rsidRPr="002A3D67">
        <w:rPr>
          <w:rStyle w:val="FootnoteReference"/>
        </w:rPr>
        <w:footnoteReference w:id="10"/>
      </w:r>
      <w:r w:rsidR="006F301A" w:rsidRPr="002A3D67">
        <w:t xml:space="preserve"> </w:t>
      </w:r>
      <w:r w:rsidR="003E57E6" w:rsidRPr="002A3D67">
        <w:t>In the reconstruction, two inks were used:</w:t>
      </w:r>
      <w:r w:rsidR="00923F3A" w:rsidRPr="002A3D67">
        <w:t xml:space="preserve"> </w:t>
      </w:r>
      <w:r w:rsidR="003E57E6" w:rsidRPr="002A3D67">
        <w:t>a</w:t>
      </w:r>
      <w:r w:rsidR="00923F3A" w:rsidRPr="002A3D67">
        <w:t xml:space="preserve"> modern waterproof ink and </w:t>
      </w:r>
      <w:r w:rsidR="00D67688" w:rsidRPr="002A3D67">
        <w:rPr>
          <w:rFonts w:eastAsia="Times New Roman" w:cs="Times New Roman"/>
          <w:color w:val="222222"/>
          <w:shd w:val="clear" w:color="auto" w:fill="FFFFFF"/>
        </w:rPr>
        <w:t xml:space="preserve">an </w:t>
      </w:r>
      <w:r w:rsidR="007F4401">
        <w:rPr>
          <w:rFonts w:eastAsia="Times New Roman" w:cs="Times New Roman"/>
          <w:color w:val="222222"/>
          <w:shd w:val="clear" w:color="auto" w:fill="FFFFFF"/>
        </w:rPr>
        <w:t>iron gall</w:t>
      </w:r>
      <w:r w:rsidR="00923F3A" w:rsidRPr="002A3D67">
        <w:rPr>
          <w:rFonts w:eastAsia="Times New Roman" w:cs="Times New Roman"/>
          <w:color w:val="222222"/>
          <w:shd w:val="clear" w:color="auto" w:fill="FFFFFF"/>
        </w:rPr>
        <w:t xml:space="preserve"> ink made to historical specifications by the Phoenix-based company "Old World Inks</w:t>
      </w:r>
      <w:r w:rsidR="003829A8" w:rsidRPr="002A3D67">
        <w:rPr>
          <w:rFonts w:eastAsia="Times New Roman" w:cs="Times New Roman"/>
          <w:color w:val="222222"/>
          <w:shd w:val="clear" w:color="auto" w:fill="FFFFFF"/>
        </w:rPr>
        <w:t>”</w:t>
      </w:r>
      <w:r w:rsidR="00832AAF">
        <w:rPr>
          <w:rFonts w:eastAsia="Times New Roman" w:cs="Times New Roman"/>
          <w:color w:val="222222"/>
          <w:shd w:val="clear" w:color="auto" w:fill="FFFFFF"/>
        </w:rPr>
        <w:t xml:space="preserve"> </w:t>
      </w:r>
      <w:r w:rsidR="00832AAF">
        <w:rPr>
          <w:rFonts w:eastAsia="Times New Roman" w:cs="Times New Roman"/>
          <w:b/>
          <w:color w:val="222222"/>
          <w:shd w:val="clear" w:color="auto" w:fill="FFFFFF"/>
        </w:rPr>
        <w:t>[Figs.</w:t>
      </w:r>
      <w:r w:rsidR="00464171">
        <w:rPr>
          <w:rFonts w:eastAsia="Times New Roman" w:cs="Times New Roman"/>
          <w:b/>
          <w:color w:val="222222"/>
          <w:shd w:val="clear" w:color="auto" w:fill="FFFFFF"/>
        </w:rPr>
        <w:t xml:space="preserve"> </w:t>
      </w:r>
      <w:bookmarkStart w:id="0" w:name="_GoBack"/>
      <w:bookmarkEnd w:id="0"/>
      <w:r w:rsidR="00832AAF">
        <w:rPr>
          <w:rFonts w:eastAsia="Times New Roman" w:cs="Times New Roman"/>
          <w:b/>
          <w:color w:val="222222"/>
          <w:shd w:val="clear" w:color="auto" w:fill="FFFFFF"/>
        </w:rPr>
        <w:t xml:space="preserve">1-2: Waterproof Ink, </w:t>
      </w:r>
      <w:r w:rsidR="007F4401">
        <w:rPr>
          <w:rFonts w:eastAsia="Times New Roman" w:cs="Times New Roman"/>
          <w:b/>
          <w:color w:val="222222"/>
          <w:shd w:val="clear" w:color="auto" w:fill="FFFFFF"/>
        </w:rPr>
        <w:t>Iron gall</w:t>
      </w:r>
      <w:r w:rsidR="00832AAF">
        <w:rPr>
          <w:rFonts w:eastAsia="Times New Roman" w:cs="Times New Roman"/>
          <w:b/>
          <w:color w:val="222222"/>
          <w:shd w:val="clear" w:color="auto" w:fill="FFFFFF"/>
        </w:rPr>
        <w:t xml:space="preserve"> Ink]</w:t>
      </w:r>
      <w:r w:rsidR="00832AAF">
        <w:rPr>
          <w:rFonts w:eastAsia="Times New Roman" w:cs="Times New Roman"/>
          <w:color w:val="222222"/>
          <w:shd w:val="clear" w:color="auto" w:fill="FFFFFF"/>
        </w:rPr>
        <w:t>.</w:t>
      </w:r>
      <w:r w:rsidR="00C73AAA" w:rsidRPr="002A3D67">
        <w:rPr>
          <w:rFonts w:eastAsia="Times New Roman" w:cs="Times New Roman"/>
          <w:color w:val="222222"/>
          <w:shd w:val="clear" w:color="auto" w:fill="FFFFFF"/>
        </w:rPr>
        <w:t xml:space="preserve"> Selecting gum proved a greater challenge. Gum arabic seemed a natural choice, given the prevalence of gum arabic in this period, its use an ingredient for ink in many books of secrets, and its mention in numerous points of the manuscript.</w:t>
      </w:r>
      <w:r w:rsidR="00C73AAA" w:rsidRPr="002A3D67">
        <w:rPr>
          <w:rStyle w:val="FootnoteReference"/>
          <w:rFonts w:eastAsia="Times New Roman" w:cs="Times New Roman"/>
          <w:color w:val="222222"/>
          <w:shd w:val="clear" w:color="auto" w:fill="FFFFFF"/>
        </w:rPr>
        <w:footnoteReference w:id="11"/>
      </w:r>
      <w:r w:rsidR="000827CC" w:rsidRPr="002A3D67">
        <w:rPr>
          <w:rFonts w:eastAsia="Times New Roman" w:cs="Times New Roman"/>
          <w:color w:val="222222"/>
          <w:shd w:val="clear" w:color="auto" w:fill="FFFFFF"/>
        </w:rPr>
        <w:t xml:space="preserve"> In the reconstruction, however,</w:t>
      </w:r>
      <w:r w:rsidR="00414AB1" w:rsidRPr="002A3D67">
        <w:rPr>
          <w:rFonts w:eastAsia="Times New Roman" w:cs="Times New Roman"/>
          <w:color w:val="222222"/>
          <w:shd w:val="clear" w:color="auto" w:fill="FFFFFF"/>
        </w:rPr>
        <w:t xml:space="preserve"> a</w:t>
      </w:r>
      <w:r w:rsidR="000827CC" w:rsidRPr="002A3D67">
        <w:rPr>
          <w:rFonts w:eastAsia="Times New Roman" w:cs="Times New Roman"/>
          <w:color w:val="222222"/>
          <w:shd w:val="clear" w:color="auto" w:fill="FFFFFF"/>
        </w:rPr>
        <w:t xml:space="preserve"> gum arabic </w:t>
      </w:r>
      <w:r w:rsidR="00414AB1" w:rsidRPr="002A3D67">
        <w:rPr>
          <w:rFonts w:eastAsia="Times New Roman" w:cs="Times New Roman"/>
          <w:color w:val="222222"/>
          <w:shd w:val="clear" w:color="auto" w:fill="FFFFFF"/>
        </w:rPr>
        <w:t xml:space="preserve">solution </w:t>
      </w:r>
      <w:r w:rsidR="000827CC" w:rsidRPr="002A3D67">
        <w:rPr>
          <w:rFonts w:eastAsia="Times New Roman" w:cs="Times New Roman"/>
          <w:color w:val="222222"/>
          <w:shd w:val="clear" w:color="auto" w:fill="FFFFFF"/>
        </w:rPr>
        <w:t>was found to have a diluting effect when mixed with ink</w:t>
      </w:r>
      <w:r w:rsidR="00832AAF">
        <w:rPr>
          <w:rFonts w:eastAsia="Times New Roman" w:cs="Times New Roman"/>
          <w:color w:val="222222"/>
          <w:shd w:val="clear" w:color="auto" w:fill="FFFFFF"/>
        </w:rPr>
        <w:t xml:space="preserve"> </w:t>
      </w:r>
      <w:r w:rsidR="00832AAF">
        <w:rPr>
          <w:rFonts w:eastAsia="Times New Roman" w:cs="Times New Roman"/>
          <w:b/>
          <w:color w:val="222222"/>
          <w:shd w:val="clear" w:color="auto" w:fill="FFFFFF"/>
        </w:rPr>
        <w:t>[Fig. 3: Gum arabic solution]</w:t>
      </w:r>
      <w:r w:rsidR="000827CC" w:rsidRPr="002A3D67">
        <w:rPr>
          <w:rFonts w:eastAsia="Times New Roman" w:cs="Times New Roman"/>
          <w:color w:val="222222"/>
          <w:shd w:val="clear" w:color="auto" w:fill="FFFFFF"/>
        </w:rPr>
        <w:t>. Rather than raise the letters, the surface</w:t>
      </w:r>
      <w:r w:rsidR="003E5929" w:rsidRPr="002A3D67">
        <w:rPr>
          <w:rFonts w:eastAsia="Times New Roman" w:cs="Times New Roman"/>
          <w:color w:val="222222"/>
          <w:shd w:val="clear" w:color="auto" w:fill="FFFFFF"/>
        </w:rPr>
        <w:t xml:space="preserve"> of the ink</w:t>
      </w:r>
      <w:r w:rsidR="000827CC" w:rsidRPr="002A3D67">
        <w:rPr>
          <w:rFonts w:eastAsia="Times New Roman" w:cs="Times New Roman"/>
          <w:color w:val="222222"/>
          <w:shd w:val="clear" w:color="auto" w:fill="FFFFFF"/>
        </w:rPr>
        <w:t xml:space="preserve"> remained flat, even when multiple layers of ink mixed with gum arabic were applied</w:t>
      </w:r>
      <w:r w:rsidR="00EB44C3" w:rsidRPr="002A3D67">
        <w:rPr>
          <w:rFonts w:eastAsia="Times New Roman" w:cs="Times New Roman"/>
          <w:color w:val="222222"/>
          <w:shd w:val="clear" w:color="auto" w:fill="FFFFFF"/>
        </w:rPr>
        <w:t xml:space="preserve"> [</w:t>
      </w:r>
      <w:r w:rsidR="00832AAF">
        <w:rPr>
          <w:rFonts w:eastAsia="Times New Roman" w:cs="Times New Roman"/>
          <w:b/>
          <w:color w:val="222222"/>
          <w:shd w:val="clear" w:color="auto" w:fill="FFFFFF"/>
        </w:rPr>
        <w:t>Fig. 4: Gum Arabic Text</w:t>
      </w:r>
      <w:r w:rsidR="00EB44C3" w:rsidRPr="002A3D67">
        <w:rPr>
          <w:rFonts w:eastAsia="Times New Roman" w:cs="Times New Roman"/>
          <w:b/>
          <w:color w:val="222222"/>
          <w:shd w:val="clear" w:color="auto" w:fill="FFFFFF"/>
        </w:rPr>
        <w:t>]</w:t>
      </w:r>
      <w:r w:rsidR="000827CC" w:rsidRPr="002A3D67">
        <w:rPr>
          <w:rFonts w:eastAsia="Times New Roman" w:cs="Times New Roman"/>
          <w:color w:val="222222"/>
          <w:shd w:val="clear" w:color="auto" w:fill="FFFFFF"/>
        </w:rPr>
        <w:t xml:space="preserve">. </w:t>
      </w:r>
      <w:r w:rsidR="00FB7DCF" w:rsidRPr="002A3D67">
        <w:rPr>
          <w:rFonts w:eastAsia="Times New Roman" w:cs="Times New Roman"/>
          <w:color w:val="222222"/>
          <w:shd w:val="clear" w:color="auto" w:fill="FFFFFF"/>
        </w:rPr>
        <w:t>It may have been that a solid form of the gum arabic was needed, although t</w:t>
      </w:r>
      <w:r w:rsidR="000827CC" w:rsidRPr="002A3D67">
        <w:rPr>
          <w:rFonts w:eastAsia="Times New Roman" w:cs="Times New Roman"/>
          <w:color w:val="222222"/>
          <w:shd w:val="clear" w:color="auto" w:fill="FFFFFF"/>
        </w:rPr>
        <w:t>he manuscript author references the use of gum in order to dilute paint pigments.</w:t>
      </w:r>
      <w:r w:rsidR="000827CC" w:rsidRPr="002A3D67">
        <w:rPr>
          <w:rStyle w:val="FootnoteReference"/>
          <w:rFonts w:eastAsia="Times New Roman" w:cs="Times New Roman"/>
          <w:color w:val="222222"/>
          <w:shd w:val="clear" w:color="auto" w:fill="FFFFFF"/>
        </w:rPr>
        <w:footnoteReference w:id="12"/>
      </w:r>
      <w:r w:rsidR="004E7E8E" w:rsidRPr="002A3D67">
        <w:rPr>
          <w:rFonts w:eastAsia="Times New Roman" w:cs="Times New Roman"/>
          <w:color w:val="222222"/>
          <w:shd w:val="clear" w:color="auto" w:fill="FFFFFF"/>
        </w:rPr>
        <w:t xml:space="preserve"> </w:t>
      </w:r>
    </w:p>
    <w:p w14:paraId="60332BAC" w14:textId="640CC51B" w:rsidR="003D4A7D" w:rsidRPr="002A3D67" w:rsidRDefault="00A1339E" w:rsidP="00975A0F">
      <w:pPr>
        <w:spacing w:line="480" w:lineRule="auto"/>
      </w:pPr>
      <w:r w:rsidRPr="002A3D67">
        <w:rPr>
          <w:rFonts w:eastAsia="Times New Roman" w:cs="Times New Roman"/>
          <w:color w:val="222222"/>
          <w:shd w:val="clear" w:color="auto" w:fill="FFFFFF"/>
        </w:rPr>
        <w:tab/>
        <w:t>I</w:t>
      </w:r>
      <w:r w:rsidR="00780464" w:rsidRPr="002A3D67">
        <w:rPr>
          <w:rFonts w:eastAsia="Times New Roman" w:cs="Times New Roman"/>
          <w:color w:val="222222"/>
          <w:shd w:val="clear" w:color="auto" w:fill="FFFFFF"/>
        </w:rPr>
        <w:t xml:space="preserve">n the reconstruction the decision was made to find a </w:t>
      </w:r>
      <w:r w:rsidR="00A64EF4" w:rsidRPr="002A3D67">
        <w:rPr>
          <w:rFonts w:eastAsia="Times New Roman" w:cs="Times New Roman"/>
          <w:color w:val="222222"/>
          <w:shd w:val="clear" w:color="auto" w:fill="FFFFFF"/>
        </w:rPr>
        <w:t xml:space="preserve">different </w:t>
      </w:r>
      <w:r w:rsidR="00780464" w:rsidRPr="002A3D67">
        <w:rPr>
          <w:rFonts w:eastAsia="Times New Roman" w:cs="Times New Roman"/>
          <w:color w:val="222222"/>
          <w:shd w:val="clear" w:color="auto" w:fill="FFFFFF"/>
        </w:rPr>
        <w:t>gum to increase the ink’s viscosity, and powdered tragacanth gum constit</w:t>
      </w:r>
      <w:r w:rsidR="00083D54" w:rsidRPr="002A3D67">
        <w:rPr>
          <w:rFonts w:eastAsia="Times New Roman" w:cs="Times New Roman"/>
          <w:color w:val="222222"/>
          <w:shd w:val="clear" w:color="auto" w:fill="FFFFFF"/>
        </w:rPr>
        <w:t>uted with water was therefore used</w:t>
      </w:r>
      <w:r w:rsidR="001C7948">
        <w:rPr>
          <w:rFonts w:eastAsia="Times New Roman" w:cs="Times New Roman"/>
          <w:color w:val="222222"/>
          <w:shd w:val="clear" w:color="auto" w:fill="FFFFFF"/>
        </w:rPr>
        <w:t xml:space="preserve"> [</w:t>
      </w:r>
      <w:r w:rsidR="007F4401">
        <w:rPr>
          <w:rFonts w:eastAsia="Times New Roman" w:cs="Times New Roman"/>
          <w:b/>
          <w:color w:val="222222"/>
          <w:shd w:val="clear" w:color="auto" w:fill="FFFFFF"/>
        </w:rPr>
        <w:t>Fi</w:t>
      </w:r>
      <w:r w:rsidR="001C7948">
        <w:rPr>
          <w:rFonts w:eastAsia="Times New Roman" w:cs="Times New Roman"/>
          <w:b/>
          <w:color w:val="222222"/>
          <w:shd w:val="clear" w:color="auto" w:fill="FFFFFF"/>
        </w:rPr>
        <w:t>g. 5: tragacanth gum]</w:t>
      </w:r>
      <w:r w:rsidR="00780464" w:rsidRPr="002A3D67">
        <w:rPr>
          <w:rFonts w:eastAsia="Times New Roman" w:cs="Times New Roman"/>
          <w:color w:val="222222"/>
          <w:shd w:val="clear" w:color="auto" w:fill="FFFFFF"/>
        </w:rPr>
        <w:t>.</w:t>
      </w:r>
      <w:r w:rsidR="00327589" w:rsidRPr="002A3D67">
        <w:rPr>
          <w:rFonts w:eastAsia="Times New Roman" w:cs="Times New Roman"/>
          <w:color w:val="222222"/>
          <w:shd w:val="clear" w:color="auto" w:fill="FFFFFF"/>
        </w:rPr>
        <w:t xml:space="preserve"> </w:t>
      </w:r>
      <w:r w:rsidR="00CB7400" w:rsidRPr="002A3D67">
        <w:rPr>
          <w:rFonts w:eastAsia="Times New Roman" w:cs="Times New Roman"/>
          <w:color w:val="222222"/>
          <w:shd w:val="clear" w:color="auto" w:fill="FFFFFF"/>
        </w:rPr>
        <w:t>A resin derived from</w:t>
      </w:r>
      <w:r w:rsidR="00BD4B49" w:rsidRPr="002A3D67">
        <w:rPr>
          <w:rFonts w:eastAsia="Times New Roman" w:cs="Times New Roman"/>
          <w:color w:val="222222"/>
          <w:shd w:val="clear" w:color="auto" w:fill="FFFFFF"/>
        </w:rPr>
        <w:t xml:space="preserve"> the sap of an e</w:t>
      </w:r>
      <w:r w:rsidR="00A60181" w:rsidRPr="002A3D67">
        <w:rPr>
          <w:rFonts w:eastAsia="Times New Roman" w:cs="Times New Roman"/>
          <w:color w:val="222222"/>
          <w:shd w:val="clear" w:color="auto" w:fill="FFFFFF"/>
        </w:rPr>
        <w:t>astern Mediterranean plant,</w:t>
      </w:r>
      <w:r w:rsidR="00CB7400" w:rsidRPr="002A3D67">
        <w:rPr>
          <w:rFonts w:eastAsia="Times New Roman" w:cs="Times New Roman"/>
          <w:color w:val="222222"/>
          <w:shd w:val="clear" w:color="auto" w:fill="FFFFFF"/>
        </w:rPr>
        <w:t xml:space="preserve"> </w:t>
      </w:r>
      <w:r w:rsidR="00F44A41" w:rsidRPr="002A3D67">
        <w:rPr>
          <w:rFonts w:eastAsia="Times New Roman" w:cs="Times New Roman"/>
          <w:color w:val="222222"/>
          <w:shd w:val="clear" w:color="auto" w:fill="FFFFFF"/>
        </w:rPr>
        <w:t>t</w:t>
      </w:r>
      <w:r w:rsidR="00327589" w:rsidRPr="002A3D67">
        <w:rPr>
          <w:rFonts w:eastAsia="Times New Roman" w:cs="Times New Roman"/>
          <w:color w:val="222222"/>
          <w:shd w:val="clear" w:color="auto" w:fill="FFFFFF"/>
        </w:rPr>
        <w:t>ragacanth gum was available</w:t>
      </w:r>
      <w:r w:rsidR="00BD4B49" w:rsidRPr="002A3D67">
        <w:rPr>
          <w:rFonts w:eastAsia="Times New Roman" w:cs="Times New Roman"/>
          <w:color w:val="222222"/>
          <w:shd w:val="clear" w:color="auto" w:fill="FFFFFF"/>
        </w:rPr>
        <w:t xml:space="preserve"> in western Europe</w:t>
      </w:r>
      <w:r w:rsidR="003543DF" w:rsidRPr="002A3D67">
        <w:rPr>
          <w:rFonts w:eastAsia="Times New Roman" w:cs="Times New Roman"/>
          <w:color w:val="222222"/>
          <w:shd w:val="clear" w:color="auto" w:fill="FFFFFF"/>
        </w:rPr>
        <w:t xml:space="preserve"> in the sixteenth century </w:t>
      </w:r>
      <w:r w:rsidR="00BD4B49" w:rsidRPr="002A3D67">
        <w:rPr>
          <w:rFonts w:eastAsia="Times New Roman" w:cs="Times New Roman"/>
          <w:color w:val="222222"/>
          <w:shd w:val="clear" w:color="auto" w:fill="FFFFFF"/>
        </w:rPr>
        <w:t xml:space="preserve">and </w:t>
      </w:r>
      <w:r w:rsidR="00AF3CB3" w:rsidRPr="002A3D67">
        <w:rPr>
          <w:rFonts w:eastAsia="Times New Roman" w:cs="Times New Roman"/>
          <w:color w:val="222222"/>
          <w:shd w:val="clear" w:color="auto" w:fill="FFFFFF"/>
        </w:rPr>
        <w:t xml:space="preserve">was </w:t>
      </w:r>
      <w:r w:rsidR="00BD4B49" w:rsidRPr="002A3D67">
        <w:rPr>
          <w:rFonts w:eastAsia="Times New Roman" w:cs="Times New Roman"/>
          <w:color w:val="222222"/>
          <w:shd w:val="clear" w:color="auto" w:fill="FFFFFF"/>
        </w:rPr>
        <w:t>widely used by artisans. I</w:t>
      </w:r>
      <w:r w:rsidR="00327589" w:rsidRPr="002A3D67">
        <w:rPr>
          <w:rFonts w:eastAsia="Times New Roman" w:cs="Times New Roman"/>
          <w:color w:val="222222"/>
          <w:shd w:val="clear" w:color="auto" w:fill="FFFFFF"/>
        </w:rPr>
        <w:t>t is explicitly mentioned in Renaissance artistic treatises</w:t>
      </w:r>
      <w:r w:rsidR="004843E8" w:rsidRPr="002A3D67">
        <w:rPr>
          <w:rFonts w:eastAsia="Times New Roman" w:cs="Times New Roman"/>
          <w:color w:val="222222"/>
          <w:shd w:val="clear" w:color="auto" w:fill="FFFFFF"/>
        </w:rPr>
        <w:t>, often as a binding agent</w:t>
      </w:r>
      <w:r w:rsidR="004C5470" w:rsidRPr="002A3D67">
        <w:rPr>
          <w:rFonts w:eastAsia="Times New Roman" w:cs="Times New Roman"/>
          <w:color w:val="222222"/>
          <w:shd w:val="clear" w:color="auto" w:fill="FFFFFF"/>
        </w:rPr>
        <w:t xml:space="preserve"> known for becoming hard</w:t>
      </w:r>
      <w:r w:rsidR="0095190A" w:rsidRPr="002A3D67">
        <w:rPr>
          <w:rFonts w:eastAsia="Times New Roman" w:cs="Times New Roman"/>
          <w:color w:val="222222"/>
          <w:shd w:val="clear" w:color="auto" w:fill="FFFFFF"/>
        </w:rPr>
        <w:t xml:space="preserve"> with time</w:t>
      </w:r>
      <w:r w:rsidR="00327589" w:rsidRPr="002A3D67">
        <w:rPr>
          <w:rFonts w:eastAsia="Times New Roman" w:cs="Times New Roman"/>
          <w:color w:val="222222"/>
          <w:shd w:val="clear" w:color="auto" w:fill="FFFFFF"/>
        </w:rPr>
        <w:t>.</w:t>
      </w:r>
      <w:r w:rsidR="00327589" w:rsidRPr="002A3D67">
        <w:rPr>
          <w:rStyle w:val="FootnoteReference"/>
          <w:rFonts w:eastAsia="Times New Roman" w:cs="Times New Roman"/>
          <w:color w:val="222222"/>
          <w:shd w:val="clear" w:color="auto" w:fill="FFFFFF"/>
        </w:rPr>
        <w:footnoteReference w:id="13"/>
      </w:r>
      <w:r w:rsidR="00813C17" w:rsidRPr="002A3D67">
        <w:rPr>
          <w:rFonts w:eastAsia="Times New Roman" w:cs="Times New Roman"/>
          <w:color w:val="222222"/>
          <w:shd w:val="clear" w:color="auto" w:fill="FFFFFF"/>
        </w:rPr>
        <w:t xml:space="preserve"> </w:t>
      </w:r>
      <w:r w:rsidR="003D4A7D" w:rsidRPr="002A3D67">
        <w:t>In the reconstruction, the tragacanth gum was mixed separately with both types of ink, fo</w:t>
      </w:r>
      <w:r w:rsidR="00EB44C3" w:rsidRPr="002A3D67">
        <w:t>rming a thick, gelatinous paste</w:t>
      </w:r>
      <w:r w:rsidR="001C7948">
        <w:t xml:space="preserve"> </w:t>
      </w:r>
      <w:r w:rsidR="007F4401">
        <w:rPr>
          <w:b/>
        </w:rPr>
        <w:t>[F</w:t>
      </w:r>
      <w:r w:rsidR="001C7948">
        <w:rPr>
          <w:b/>
        </w:rPr>
        <w:t>ig</w:t>
      </w:r>
      <w:r w:rsidR="007F4401">
        <w:rPr>
          <w:b/>
        </w:rPr>
        <w:t>s</w:t>
      </w:r>
      <w:r w:rsidR="001C7948">
        <w:rPr>
          <w:b/>
        </w:rPr>
        <w:t xml:space="preserve">. </w:t>
      </w:r>
      <w:r w:rsidR="007F4401">
        <w:rPr>
          <w:b/>
        </w:rPr>
        <w:t xml:space="preserve">6-7: </w:t>
      </w:r>
      <w:r w:rsidR="00D879AE">
        <w:rPr>
          <w:b/>
        </w:rPr>
        <w:t xml:space="preserve">Tragacanth </w:t>
      </w:r>
      <w:r w:rsidR="007F4401">
        <w:rPr>
          <w:b/>
        </w:rPr>
        <w:t>gum mixed,</w:t>
      </w:r>
      <w:r w:rsidR="00D879AE">
        <w:rPr>
          <w:b/>
        </w:rPr>
        <w:t xml:space="preserve"> Tragacanth</w:t>
      </w:r>
      <w:r w:rsidR="007F4401">
        <w:rPr>
          <w:b/>
        </w:rPr>
        <w:t xml:space="preserve"> gum and ink mixed</w:t>
      </w:r>
      <w:r w:rsidR="001C7948">
        <w:rPr>
          <w:b/>
        </w:rPr>
        <w:t>]</w:t>
      </w:r>
      <w:r w:rsidR="00EB44C3" w:rsidRPr="002A3D67">
        <w:t>.</w:t>
      </w:r>
      <w:r w:rsidR="006D1EF9" w:rsidRPr="002A3D67">
        <w:t xml:space="preserve"> </w:t>
      </w:r>
      <w:r w:rsidR="002C093C" w:rsidRPr="002A3D67">
        <w:t>Initially applying this mixture with a calligraphy pen, the gum proved so dense that it was necessary to paint it onto paper with a brush.</w:t>
      </w:r>
      <w:r w:rsidR="00053947" w:rsidRPr="002A3D67">
        <w:t xml:space="preserve"> The sheet using modern ink was inscribed wit</w:t>
      </w:r>
      <w:r w:rsidR="00D879AE">
        <w:t>h “CRAFT</w:t>
      </w:r>
      <w:r w:rsidR="007F4401">
        <w:t>”</w:t>
      </w:r>
      <w:r w:rsidR="00D879AE">
        <w:t xml:space="preserve"> [</w:t>
      </w:r>
      <w:r w:rsidR="00D879AE">
        <w:rPr>
          <w:b/>
        </w:rPr>
        <w:t>Fig</w:t>
      </w:r>
      <w:r w:rsidR="009F457B">
        <w:rPr>
          <w:b/>
        </w:rPr>
        <w:t>s</w:t>
      </w:r>
      <w:r w:rsidR="00D879AE">
        <w:rPr>
          <w:b/>
        </w:rPr>
        <w:t>. 8</w:t>
      </w:r>
      <w:r w:rsidR="009F457B">
        <w:rPr>
          <w:b/>
        </w:rPr>
        <w:t>-9</w:t>
      </w:r>
      <w:r w:rsidR="00D879AE">
        <w:rPr>
          <w:b/>
        </w:rPr>
        <w:t>: CRAFT</w:t>
      </w:r>
      <w:r w:rsidR="009F457B">
        <w:rPr>
          <w:b/>
        </w:rPr>
        <w:t>, frontal and side views</w:t>
      </w:r>
      <w:r w:rsidR="00D879AE">
        <w:rPr>
          <w:b/>
        </w:rPr>
        <w:t>]</w:t>
      </w:r>
      <w:r w:rsidR="007F4401">
        <w:t xml:space="preserve"> the sheet using iron </w:t>
      </w:r>
      <w:r w:rsidR="00053947" w:rsidRPr="002A3D67">
        <w:t>gall ink was inscribed with “ART” [</w:t>
      </w:r>
      <w:r w:rsidR="007F4401">
        <w:rPr>
          <w:b/>
        </w:rPr>
        <w:t>F</w:t>
      </w:r>
      <w:r w:rsidR="009F457B">
        <w:rPr>
          <w:b/>
        </w:rPr>
        <w:t>ig. 10-11</w:t>
      </w:r>
      <w:r w:rsidR="007F4401">
        <w:rPr>
          <w:b/>
        </w:rPr>
        <w:t>: ART</w:t>
      </w:r>
      <w:r w:rsidR="009F457B">
        <w:rPr>
          <w:b/>
        </w:rPr>
        <w:t>, frontal and side views</w:t>
      </w:r>
      <w:r w:rsidR="00053947" w:rsidRPr="002A3D67">
        <w:t>]</w:t>
      </w:r>
      <w:r w:rsidR="00E13059" w:rsidRPr="002A3D67">
        <w:t>.</w:t>
      </w:r>
    </w:p>
    <w:p w14:paraId="6EEDB8BB" w14:textId="64247E87" w:rsidR="003E1A9F" w:rsidRPr="002A3D67" w:rsidRDefault="00A47CE4" w:rsidP="00975A0F">
      <w:pPr>
        <w:spacing w:line="480" w:lineRule="auto"/>
        <w:rPr>
          <w:rFonts w:eastAsia="Times New Roman" w:cs="Times New Roman"/>
          <w:bCs/>
          <w:color w:val="000000"/>
        </w:rPr>
      </w:pPr>
      <w:r w:rsidRPr="002A3D67">
        <w:tab/>
      </w:r>
      <w:r w:rsidR="00E06960" w:rsidRPr="002A3D67">
        <w:t xml:space="preserve">After letting the ink dry over a period of several days, numerous changes took place. The ink shrank but remained thick and clearly raised above the surface of the paper. </w:t>
      </w:r>
      <w:r w:rsidRPr="002A3D67">
        <w:t xml:space="preserve">Despite applying the ink mixture to gelatin-sized sheets made of hemp and cotton fiber </w:t>
      </w:r>
      <w:r w:rsidR="00FF3A9A" w:rsidRPr="002A3D67">
        <w:t>that</w:t>
      </w:r>
      <w:r w:rsidRPr="002A3D67">
        <w:t xml:space="preserve"> approximate</w:t>
      </w:r>
      <w:r w:rsidR="00FF3A9A" w:rsidRPr="002A3D67">
        <w:t>d</w:t>
      </w:r>
      <w:r w:rsidRPr="002A3D67">
        <w:t xml:space="preserve"> the qualities of sixteenth-century paper, </w:t>
      </w:r>
      <w:r w:rsidR="00FF3A9A" w:rsidRPr="002A3D67">
        <w:t xml:space="preserve">the sheets </w:t>
      </w:r>
      <w:r w:rsidR="00535E04" w:rsidRPr="002A3D67">
        <w:t>curled</w:t>
      </w:r>
      <w:r w:rsidR="00FF3A9A" w:rsidRPr="002A3D67">
        <w:t xml:space="preserve"> up </w:t>
      </w:r>
      <w:r w:rsidR="00A327CE" w:rsidRPr="002A3D67">
        <w:t>after</w:t>
      </w:r>
      <w:r w:rsidR="00FF3A9A" w:rsidRPr="002A3D67">
        <w:t xml:space="preserve"> the ink mixture hardened over several days</w:t>
      </w:r>
      <w:r w:rsidR="006E6BD6" w:rsidRPr="002A3D67">
        <w:t xml:space="preserve"> </w:t>
      </w:r>
      <w:r w:rsidR="006E6BD6" w:rsidRPr="002A3D67">
        <w:rPr>
          <w:b/>
        </w:rPr>
        <w:t>[</w:t>
      </w:r>
      <w:r w:rsidR="009F457B">
        <w:rPr>
          <w:b/>
        </w:rPr>
        <w:t>Fig. 12</w:t>
      </w:r>
      <w:r w:rsidR="00A36CCE">
        <w:rPr>
          <w:b/>
        </w:rPr>
        <w:t>: Curled-up Paper</w:t>
      </w:r>
      <w:r w:rsidR="006E6BD6" w:rsidRPr="002A3D67">
        <w:t>]</w:t>
      </w:r>
      <w:r w:rsidRPr="002A3D67">
        <w:t>.</w:t>
      </w:r>
      <w:r w:rsidRPr="002A3D67">
        <w:rPr>
          <w:rStyle w:val="FootnoteReference"/>
        </w:rPr>
        <w:footnoteReference w:id="14"/>
      </w:r>
      <w:r w:rsidR="00535E04" w:rsidRPr="002A3D67">
        <w:t xml:space="preserve"> The curling of the paper may partly explain why</w:t>
      </w:r>
      <w:r w:rsidR="00A327CE" w:rsidRPr="002A3D67">
        <w:t xml:space="preserve"> </w:t>
      </w:r>
      <w:r w:rsidR="00535E04" w:rsidRPr="002A3D67">
        <w:t>the recipe calls for dampening the sheet with</w:t>
      </w:r>
      <w:r w:rsidR="00915514" w:rsidRPr="002A3D67">
        <w:t xml:space="preserve"> brandy, which allowed the paper to relax in shape, albeit causing small cracks in the ink as it spread out.</w:t>
      </w:r>
      <w:r w:rsidR="003E1A9F" w:rsidRPr="002A3D67">
        <w:t xml:space="preserve"> Brandy with a high alcohol content (92 proof) was used out of concern that the tragacanth gum was partly water soluble.</w:t>
      </w:r>
      <w:r w:rsidR="00E366FF" w:rsidRPr="002A3D67">
        <w:t xml:space="preserve"> An important question was when to apply the brandy.</w:t>
      </w:r>
      <w:r w:rsidR="003F6C83" w:rsidRPr="002A3D67">
        <w:t xml:space="preserve"> </w:t>
      </w:r>
      <w:r w:rsidR="007F5219" w:rsidRPr="002A3D67">
        <w:t>As the sheet with writing was meant to be imprinted into flat clay</w:t>
      </w:r>
      <w:r w:rsidR="008C130A" w:rsidRPr="002A3D67">
        <w:t xml:space="preserve"> [</w:t>
      </w:r>
      <w:r w:rsidR="008C130A" w:rsidRPr="002A3D67">
        <w:rPr>
          <w:i/>
        </w:rPr>
        <w:t>plastre d’ardille</w:t>
      </w:r>
      <w:r w:rsidR="008C130A" w:rsidRPr="002A3D67">
        <w:t>]</w:t>
      </w:r>
      <w:r w:rsidR="007F5219" w:rsidRPr="002A3D67">
        <w:t>,</w:t>
      </w:r>
      <w:r w:rsidR="008C130A" w:rsidRPr="002A3D67">
        <w:rPr>
          <w:rStyle w:val="FootnoteReference"/>
        </w:rPr>
        <w:footnoteReference w:id="15"/>
      </w:r>
      <w:r w:rsidR="007F5219" w:rsidRPr="002A3D67">
        <w:t xml:space="preserve"> one might expect to apply the brandy to both sides of the paper before imprinting it, as it would allow the paper to release from the clay more easily. </w:t>
      </w:r>
      <w:r w:rsidR="00AB74EC" w:rsidRPr="002A3D67">
        <w:rPr>
          <w:rFonts w:cs="Times New Roman"/>
        </w:rPr>
        <w:t>The recipe however seems to call for the opposite order of operations: “</w:t>
      </w:r>
      <w:r w:rsidR="008C130A" w:rsidRPr="002A3D67">
        <w:rPr>
          <w:rFonts w:cs="Times New Roman"/>
          <w:i/>
          <w:color w:val="000000"/>
        </w:rPr>
        <w:t xml:space="preserve">puys pose ton papier sur la plastre </w:t>
      </w:r>
      <w:r w:rsidR="008C130A" w:rsidRPr="002A3D67">
        <w:rPr>
          <w:rFonts w:cs="Times New Roman"/>
          <w:bCs/>
          <w:i/>
          <w:color w:val="000000"/>
        </w:rPr>
        <w:t>d’ardille</w:t>
      </w:r>
      <w:r w:rsidR="008C130A" w:rsidRPr="002A3D67">
        <w:rPr>
          <w:rFonts w:cs="Times New Roman"/>
          <w:i/>
          <w:color w:val="000000"/>
        </w:rPr>
        <w:t xml:space="preserve"> &amp; le</w:t>
      </w:r>
      <w:r w:rsidR="00AB74EC" w:rsidRPr="002A3D67">
        <w:rPr>
          <w:rFonts w:cs="Times New Roman"/>
          <w:i/>
        </w:rPr>
        <w:t xml:space="preserve"> </w:t>
      </w:r>
      <w:r w:rsidR="008C130A" w:rsidRPr="002A3D67">
        <w:rPr>
          <w:rFonts w:eastAsia="Times New Roman" w:cs="Times New Roman"/>
          <w:i/>
          <w:color w:val="000000"/>
        </w:rPr>
        <w:t xml:space="preserve">mouille </w:t>
      </w:r>
      <w:r w:rsidR="008C130A" w:rsidRPr="002A3D67">
        <w:rPr>
          <w:rFonts w:eastAsia="Times New Roman" w:cs="Times New Roman"/>
          <w:bCs/>
          <w:i/>
          <w:color w:val="000000"/>
        </w:rPr>
        <w:t>d’eau de vye</w:t>
      </w:r>
      <w:r w:rsidR="00AB74EC" w:rsidRPr="002A3D67">
        <w:rPr>
          <w:rFonts w:eastAsia="Times New Roman" w:cs="Times New Roman"/>
          <w:bCs/>
          <w:color w:val="000000"/>
        </w:rPr>
        <w:t xml:space="preserve">.” While the curved paper relaxed in shape </w:t>
      </w:r>
      <w:r w:rsidR="005E2879" w:rsidRPr="002A3D67">
        <w:rPr>
          <w:rFonts w:eastAsia="Times New Roman" w:cs="Times New Roman"/>
          <w:bCs/>
          <w:color w:val="000000"/>
        </w:rPr>
        <w:t xml:space="preserve">after the brandy was </w:t>
      </w:r>
      <w:r w:rsidR="00975A0F" w:rsidRPr="002A3D67">
        <w:rPr>
          <w:rFonts w:eastAsia="Times New Roman" w:cs="Times New Roman"/>
          <w:bCs/>
          <w:color w:val="000000"/>
        </w:rPr>
        <w:t>added</w:t>
      </w:r>
      <w:r w:rsidR="005E2879" w:rsidRPr="002A3D67">
        <w:rPr>
          <w:rFonts w:eastAsia="Times New Roman" w:cs="Times New Roman"/>
          <w:bCs/>
          <w:color w:val="000000"/>
        </w:rPr>
        <w:t xml:space="preserve">, the decision to apply the brandy to the reverse of the paper after </w:t>
      </w:r>
      <w:r w:rsidR="00975A0F" w:rsidRPr="002A3D67">
        <w:rPr>
          <w:rFonts w:eastAsia="Times New Roman" w:cs="Times New Roman"/>
          <w:bCs/>
          <w:color w:val="000000"/>
        </w:rPr>
        <w:t>placing the paper on</w:t>
      </w:r>
      <w:r w:rsidR="005E2879" w:rsidRPr="002A3D67">
        <w:rPr>
          <w:rFonts w:eastAsia="Times New Roman" w:cs="Times New Roman"/>
          <w:bCs/>
          <w:color w:val="000000"/>
        </w:rPr>
        <w:t xml:space="preserve"> the clay may have created problems</w:t>
      </w:r>
      <w:r w:rsidR="00A36CCE">
        <w:rPr>
          <w:rFonts w:eastAsia="Times New Roman" w:cs="Times New Roman"/>
          <w:bCs/>
          <w:color w:val="000000"/>
        </w:rPr>
        <w:t xml:space="preserve"> </w:t>
      </w:r>
      <w:r w:rsidR="009F457B">
        <w:rPr>
          <w:rFonts w:eastAsia="Times New Roman" w:cs="Times New Roman"/>
          <w:b/>
          <w:bCs/>
          <w:color w:val="000000"/>
        </w:rPr>
        <w:t>[Fig. 13</w:t>
      </w:r>
      <w:r w:rsidR="00A36CCE">
        <w:rPr>
          <w:rFonts w:eastAsia="Times New Roman" w:cs="Times New Roman"/>
          <w:b/>
          <w:bCs/>
          <w:color w:val="000000"/>
        </w:rPr>
        <w:t>: Laying Paper onto Clay]</w:t>
      </w:r>
      <w:r w:rsidR="005E2879" w:rsidRPr="002A3D67">
        <w:rPr>
          <w:rFonts w:eastAsia="Times New Roman" w:cs="Times New Roman"/>
          <w:bCs/>
          <w:color w:val="000000"/>
        </w:rPr>
        <w:t xml:space="preserve">. </w:t>
      </w:r>
      <w:r w:rsidR="00893D5A" w:rsidRPr="002A3D67">
        <w:rPr>
          <w:rFonts w:eastAsia="Times New Roman" w:cs="Times New Roman"/>
          <w:bCs/>
          <w:color w:val="000000"/>
        </w:rPr>
        <w:t xml:space="preserve">Both sheets were pressed hard against the clay </w:t>
      </w:r>
      <w:r w:rsidR="00CD12DF" w:rsidRPr="002A3D67">
        <w:rPr>
          <w:rFonts w:eastAsia="Times New Roman" w:cs="Times New Roman"/>
          <w:bCs/>
          <w:color w:val="000000"/>
        </w:rPr>
        <w:t>by rolling them with</w:t>
      </w:r>
      <w:r w:rsidR="00844353" w:rsidRPr="002A3D67">
        <w:rPr>
          <w:rFonts w:eastAsia="Times New Roman" w:cs="Times New Roman"/>
          <w:bCs/>
          <w:color w:val="000000"/>
        </w:rPr>
        <w:t xml:space="preserve"> a small marble cylinder [</w:t>
      </w:r>
      <w:r w:rsidR="009F457B">
        <w:rPr>
          <w:rFonts w:eastAsia="Times New Roman" w:cs="Times New Roman"/>
          <w:b/>
          <w:bCs/>
          <w:color w:val="000000"/>
        </w:rPr>
        <w:t>Fig. 14</w:t>
      </w:r>
      <w:r w:rsidR="00A36CCE">
        <w:rPr>
          <w:rFonts w:eastAsia="Times New Roman" w:cs="Times New Roman"/>
          <w:b/>
          <w:bCs/>
          <w:color w:val="000000"/>
        </w:rPr>
        <w:t xml:space="preserve">: </w:t>
      </w:r>
      <w:r w:rsidR="00F16DEA">
        <w:rPr>
          <w:rFonts w:eastAsia="Times New Roman" w:cs="Times New Roman"/>
          <w:b/>
          <w:bCs/>
          <w:color w:val="000000"/>
        </w:rPr>
        <w:t>Rolling cylinder</w:t>
      </w:r>
      <w:r w:rsidR="00844353" w:rsidRPr="002A3D67">
        <w:rPr>
          <w:rFonts w:eastAsia="Times New Roman" w:cs="Times New Roman"/>
          <w:bCs/>
          <w:color w:val="000000"/>
        </w:rPr>
        <w:t xml:space="preserve">], and when lifting the sheet using iron gall ink, the </w:t>
      </w:r>
      <w:r w:rsidR="0050734B" w:rsidRPr="002A3D67">
        <w:rPr>
          <w:rFonts w:eastAsia="Times New Roman" w:cs="Times New Roman"/>
          <w:bCs/>
          <w:color w:val="000000"/>
        </w:rPr>
        <w:t>ink became stuck into the clay on two occasions and had to be forcibly pulled with the tip of a knife [</w:t>
      </w:r>
      <w:r w:rsidR="00F16DEA">
        <w:rPr>
          <w:rFonts w:eastAsia="Times New Roman" w:cs="Times New Roman"/>
          <w:b/>
          <w:bCs/>
          <w:color w:val="000000"/>
        </w:rPr>
        <w:t>Fig. 15: Removing Ink with Knife</w:t>
      </w:r>
      <w:r w:rsidR="0050734B" w:rsidRPr="002A3D67">
        <w:rPr>
          <w:rFonts w:eastAsia="Times New Roman" w:cs="Times New Roman"/>
          <w:bCs/>
          <w:color w:val="000000"/>
        </w:rPr>
        <w:t>].</w:t>
      </w:r>
      <w:r w:rsidR="00545723" w:rsidRPr="002A3D67">
        <w:rPr>
          <w:rFonts w:eastAsia="Times New Roman" w:cs="Times New Roman"/>
          <w:bCs/>
          <w:color w:val="000000"/>
        </w:rPr>
        <w:t xml:space="preserve"> It may be that the author’s ordering of steps was not meant to be followed verbatim, although this difficulty suggested that the recipe may not have been subject to careful experimentation by the author.</w:t>
      </w:r>
      <w:r w:rsidR="00582570" w:rsidRPr="002A3D67">
        <w:rPr>
          <w:rFonts w:eastAsia="Times New Roman" w:cs="Times New Roman"/>
          <w:bCs/>
          <w:color w:val="000000"/>
        </w:rPr>
        <w:t xml:space="preserve"> Nonetheless, </w:t>
      </w:r>
      <w:r w:rsidR="00E06960" w:rsidRPr="002A3D67">
        <w:rPr>
          <w:rFonts w:eastAsia="Times New Roman" w:cs="Times New Roman"/>
          <w:bCs/>
          <w:color w:val="000000"/>
        </w:rPr>
        <w:t>the ink created</w:t>
      </w:r>
      <w:r w:rsidR="00226240" w:rsidRPr="002A3D67">
        <w:rPr>
          <w:rFonts w:eastAsia="Times New Roman" w:cs="Times New Roman"/>
          <w:bCs/>
          <w:color w:val="000000"/>
        </w:rPr>
        <w:t xml:space="preserve"> a clearly visible impression into the clay [</w:t>
      </w:r>
      <w:r w:rsidR="00DF1C19">
        <w:rPr>
          <w:rFonts w:eastAsia="Times New Roman" w:cs="Times New Roman"/>
          <w:b/>
          <w:bCs/>
          <w:color w:val="000000"/>
        </w:rPr>
        <w:t>Figs. 16-19: Impressions of CRAFT and ART</w:t>
      </w:r>
      <w:r w:rsidR="00226240" w:rsidRPr="002A3D67">
        <w:rPr>
          <w:rFonts w:eastAsia="Times New Roman" w:cs="Times New Roman"/>
          <w:bCs/>
          <w:color w:val="000000"/>
        </w:rPr>
        <w:t>].</w:t>
      </w:r>
    </w:p>
    <w:p w14:paraId="0C4B960A" w14:textId="68E2F244" w:rsidR="00322B14" w:rsidRPr="002A3D67" w:rsidRDefault="00F01AF7" w:rsidP="00975A0F">
      <w:pPr>
        <w:spacing w:line="480" w:lineRule="auto"/>
        <w:rPr>
          <w:rFonts w:cs="Times New Roman"/>
        </w:rPr>
      </w:pPr>
      <w:r w:rsidRPr="002A3D67">
        <w:rPr>
          <w:rFonts w:eastAsia="Times New Roman" w:cs="Times New Roman"/>
          <w:bCs/>
          <w:color w:val="000000"/>
        </w:rPr>
        <w:tab/>
        <w:t>Once the paper was pressed into the clay</w:t>
      </w:r>
      <w:r w:rsidR="00E06960" w:rsidRPr="002A3D67">
        <w:rPr>
          <w:rFonts w:eastAsia="Times New Roman" w:cs="Times New Roman"/>
          <w:bCs/>
          <w:color w:val="000000"/>
        </w:rPr>
        <w:t xml:space="preserve"> and removed</w:t>
      </w:r>
      <w:r w:rsidRPr="002A3D67">
        <w:rPr>
          <w:rFonts w:eastAsia="Times New Roman" w:cs="Times New Roman"/>
          <w:bCs/>
          <w:color w:val="000000"/>
        </w:rPr>
        <w:t>, the reverse was also molded in adherence to the recipe’s order: “</w:t>
      </w:r>
      <w:r w:rsidRPr="002A3D67">
        <w:rPr>
          <w:rFonts w:eastAsia="Times New Roman" w:cs="Times New Roman"/>
          <w:i/>
          <w:color w:val="000000"/>
        </w:rPr>
        <w:t>gecte d’une part et d’autre</w:t>
      </w:r>
      <w:r w:rsidRPr="002A3D67">
        <w:rPr>
          <w:rFonts w:eastAsia="Times New Roman" w:cs="Times New Roman"/>
          <w:color w:val="000000"/>
        </w:rPr>
        <w:t>.” While the flat side of the paper created a slightly visible texture in the clay</w:t>
      </w:r>
      <w:r w:rsidR="00DF1C19">
        <w:rPr>
          <w:rFonts w:eastAsia="Times New Roman" w:cs="Times New Roman"/>
          <w:color w:val="000000"/>
        </w:rPr>
        <w:t xml:space="preserve"> </w:t>
      </w:r>
      <w:r w:rsidR="00DF1C19">
        <w:rPr>
          <w:rFonts w:eastAsia="Times New Roman" w:cs="Times New Roman"/>
          <w:b/>
          <w:color w:val="000000"/>
        </w:rPr>
        <w:t>[Fig. 20: Reverse Molded]</w:t>
      </w:r>
      <w:r w:rsidRPr="002A3D67">
        <w:rPr>
          <w:rFonts w:eastAsia="Times New Roman" w:cs="Times New Roman"/>
          <w:color w:val="000000"/>
        </w:rPr>
        <w:t>, the objective of the recipe remained unclear. The pieces of clay were left on a flat marble slab to dry for a period of several days, which caused them to war</w:t>
      </w:r>
      <w:r w:rsidR="00226240" w:rsidRPr="002A3D67">
        <w:rPr>
          <w:rFonts w:eastAsia="Times New Roman" w:cs="Times New Roman"/>
          <w:color w:val="000000"/>
        </w:rPr>
        <w:t>p slightly</w:t>
      </w:r>
      <w:r w:rsidR="00110DEA">
        <w:rPr>
          <w:rFonts w:eastAsia="Times New Roman" w:cs="Times New Roman"/>
          <w:color w:val="000000"/>
        </w:rPr>
        <w:t xml:space="preserve"> </w:t>
      </w:r>
      <w:r w:rsidR="00110DEA">
        <w:rPr>
          <w:rFonts w:eastAsia="Times New Roman" w:cs="Times New Roman"/>
          <w:b/>
          <w:color w:val="000000"/>
        </w:rPr>
        <w:t>[Fig. 21: Warped Clay]</w:t>
      </w:r>
      <w:r w:rsidR="00226240" w:rsidRPr="002A3D67">
        <w:rPr>
          <w:rFonts w:eastAsia="Times New Roman" w:cs="Times New Roman"/>
          <w:color w:val="000000"/>
        </w:rPr>
        <w:t>.</w:t>
      </w:r>
      <w:r w:rsidR="005136B7" w:rsidRPr="002A3D67">
        <w:rPr>
          <w:rFonts w:eastAsia="Times New Roman" w:cs="Times New Roman"/>
          <w:color w:val="000000"/>
        </w:rPr>
        <w:t xml:space="preserve"> What was to be done next? Were the dry slabs of clay with an imprinted wo</w:t>
      </w:r>
      <w:r w:rsidR="005136B7" w:rsidRPr="002A3D67">
        <w:t xml:space="preserve">rd the desired product? Their thinness made them brittle and impractical, causing one </w:t>
      </w:r>
      <w:r w:rsidR="0074423A" w:rsidRPr="002A3D67">
        <w:t>to break when handled [</w:t>
      </w:r>
      <w:r w:rsidR="00110DEA">
        <w:rPr>
          <w:b/>
        </w:rPr>
        <w:t>Fig. 22: Broken Mold</w:t>
      </w:r>
      <w:r w:rsidR="0047477F" w:rsidRPr="002A3D67">
        <w:t>].</w:t>
      </w:r>
      <w:r w:rsidR="007B5E5D" w:rsidRPr="002A3D67">
        <w:t xml:space="preserve"> It seems likely that such clay slabs would have been used as molds for a different substance such as </w:t>
      </w:r>
      <w:r w:rsidR="00FC2E95" w:rsidRPr="002A3D67">
        <w:t xml:space="preserve">plaster, which could simply have been poured onto the clay. The instruction to cast </w:t>
      </w:r>
      <w:r w:rsidR="00FC2E95" w:rsidRPr="002A3D67">
        <w:rPr>
          <w:rFonts w:cs="Times New Roman"/>
        </w:rPr>
        <w:t>both sides of the paper may indicate that the author intended for the mo</w:t>
      </w:r>
      <w:r w:rsidR="00E118F0" w:rsidRPr="002A3D67">
        <w:rPr>
          <w:rFonts w:cs="Times New Roman"/>
        </w:rPr>
        <w:t>ld to be cast in two dimensions with the clay sheets pressed together.</w:t>
      </w:r>
      <w:r w:rsidR="001F4574" w:rsidRPr="002A3D67">
        <w:rPr>
          <w:rFonts w:cs="Times New Roman"/>
        </w:rPr>
        <w:t xml:space="preserve"> </w:t>
      </w:r>
      <w:r w:rsidR="00B0598D" w:rsidRPr="002A3D67">
        <w:rPr>
          <w:rFonts w:cs="Times New Roman"/>
        </w:rPr>
        <w:t>It may be that the clay was meant to have been inserted into a box mold or some other form. Such unknowns suggest th</w:t>
      </w:r>
      <w:r w:rsidR="00322B14" w:rsidRPr="002A3D67">
        <w:rPr>
          <w:rFonts w:cs="Times New Roman"/>
        </w:rPr>
        <w:t>at this recipe was not subject to rigorous experimentation</w:t>
      </w:r>
      <w:r w:rsidR="00B0598D" w:rsidRPr="002A3D67">
        <w:rPr>
          <w:rFonts w:cs="Times New Roman"/>
        </w:rPr>
        <w:t xml:space="preserve">. </w:t>
      </w:r>
    </w:p>
    <w:p w14:paraId="2CB4B7C2" w14:textId="7C9EC759" w:rsidR="00F01AF7" w:rsidRPr="002A3D67" w:rsidRDefault="00322B14" w:rsidP="00975A0F">
      <w:pPr>
        <w:spacing w:line="480" w:lineRule="auto"/>
        <w:rPr>
          <w:rFonts w:cs="Times New Roman"/>
        </w:rPr>
      </w:pPr>
      <w:r w:rsidRPr="002A3D67">
        <w:rPr>
          <w:rFonts w:cs="Times New Roman"/>
        </w:rPr>
        <w:tab/>
      </w:r>
      <w:r w:rsidR="00B0598D" w:rsidRPr="002A3D67">
        <w:rPr>
          <w:rFonts w:cs="Times New Roman"/>
        </w:rPr>
        <w:t xml:space="preserve">It is noteworthy that the manuscript </w:t>
      </w:r>
      <w:r w:rsidRPr="002A3D67">
        <w:rPr>
          <w:rFonts w:cs="Times New Roman"/>
        </w:rPr>
        <w:t>folio on which the recipe is found</w:t>
      </w:r>
      <w:r w:rsidR="00B0598D" w:rsidRPr="002A3D67">
        <w:rPr>
          <w:rFonts w:cs="Times New Roman"/>
        </w:rPr>
        <w:t xml:space="preserve"> is very cleanly transcribed, with no cross outs in the main body of the text, </w:t>
      </w:r>
      <w:r w:rsidR="00BE46FA" w:rsidRPr="002A3D67">
        <w:rPr>
          <w:rFonts w:cs="Times New Roman"/>
        </w:rPr>
        <w:t>a common feature of</w:t>
      </w:r>
      <w:r w:rsidR="00E32E7D">
        <w:rPr>
          <w:rFonts w:cs="Times New Roman"/>
        </w:rPr>
        <w:t xml:space="preserve"> numerous other pages</w:t>
      </w:r>
      <w:r w:rsidR="00A75F6E" w:rsidRPr="002A3D67">
        <w:rPr>
          <w:rFonts w:cs="Times New Roman"/>
        </w:rPr>
        <w:t>. Furthermore</w:t>
      </w:r>
      <w:r w:rsidR="00B95728" w:rsidRPr="002A3D67">
        <w:rPr>
          <w:rFonts w:cs="Times New Roman"/>
        </w:rPr>
        <w:t xml:space="preserve">, </w:t>
      </w:r>
      <w:r w:rsidR="00BE46FA" w:rsidRPr="002A3D67">
        <w:rPr>
          <w:rFonts w:cs="Times New Roman"/>
        </w:rPr>
        <w:t>the recipe should be considered in relation</w:t>
      </w:r>
      <w:r w:rsidR="00B95728" w:rsidRPr="002A3D67">
        <w:rPr>
          <w:rFonts w:cs="Times New Roman"/>
        </w:rPr>
        <w:t xml:space="preserve"> to the</w:t>
      </w:r>
      <w:r w:rsidR="00A75F6E" w:rsidRPr="002A3D67">
        <w:rPr>
          <w:rFonts w:cs="Times New Roman"/>
        </w:rPr>
        <w:t xml:space="preserve"> recipe immediately above </w:t>
      </w:r>
      <w:r w:rsidR="00BE46FA" w:rsidRPr="002A3D67">
        <w:rPr>
          <w:rFonts w:cs="Times New Roman"/>
        </w:rPr>
        <w:t>it,</w:t>
      </w:r>
      <w:r w:rsidR="00B95728" w:rsidRPr="002A3D67">
        <w:rPr>
          <w:rFonts w:cs="Times New Roman"/>
        </w:rPr>
        <w:t xml:space="preserve"> which is entitled “</w:t>
      </w:r>
      <w:r w:rsidR="00B95728" w:rsidRPr="002A3D67">
        <w:rPr>
          <w:rFonts w:eastAsia="Times New Roman" w:cs="Times New Roman"/>
          <w:bCs/>
          <w:color w:val="000000"/>
        </w:rPr>
        <w:t>Herbs</w:t>
      </w:r>
      <w:r w:rsidR="00B95728" w:rsidRPr="002A3D67">
        <w:rPr>
          <w:rFonts w:eastAsia="Times New Roman" w:cs="Times New Roman"/>
          <w:color w:val="000000"/>
        </w:rPr>
        <w:t xml:space="preserve"> difficult to burn in the mold” and offers one sentence of instructions to mold such objects “in two to three castings.” </w:t>
      </w:r>
      <w:r w:rsidR="00600518" w:rsidRPr="002A3D67">
        <w:rPr>
          <w:rFonts w:eastAsia="Times New Roman" w:cs="Times New Roman"/>
          <w:color w:val="000000"/>
        </w:rPr>
        <w:t>In the margin adjacent</w:t>
      </w:r>
      <w:r w:rsidR="008C539A" w:rsidRPr="002A3D67">
        <w:rPr>
          <w:rFonts w:eastAsia="Times New Roman" w:cs="Times New Roman"/>
          <w:color w:val="000000"/>
        </w:rPr>
        <w:t xml:space="preserve"> to </w:t>
      </w:r>
      <w:r w:rsidR="00CA068D" w:rsidRPr="002A3D67">
        <w:rPr>
          <w:rFonts w:eastAsia="Times New Roman" w:cs="Times New Roman"/>
          <w:color w:val="000000"/>
        </w:rPr>
        <w:t>the herb-molding</w:t>
      </w:r>
      <w:r w:rsidR="00600518" w:rsidRPr="002A3D67">
        <w:rPr>
          <w:rFonts w:eastAsia="Times New Roman" w:cs="Times New Roman"/>
          <w:color w:val="000000"/>
        </w:rPr>
        <w:t xml:space="preserve"> recipe</w:t>
      </w:r>
      <w:r w:rsidR="008C539A" w:rsidRPr="002A3D67">
        <w:rPr>
          <w:rFonts w:eastAsia="Times New Roman" w:cs="Times New Roman"/>
          <w:color w:val="000000"/>
        </w:rPr>
        <w:t xml:space="preserve"> is written the word “</w:t>
      </w:r>
      <w:r w:rsidR="008C539A" w:rsidRPr="002A3D67">
        <w:rPr>
          <w:rFonts w:eastAsia="Times New Roman" w:cs="Times New Roman"/>
          <w:i/>
          <w:color w:val="000000"/>
        </w:rPr>
        <w:t>essayer</w:t>
      </w:r>
      <w:r w:rsidR="008C539A" w:rsidRPr="002A3D67">
        <w:rPr>
          <w:rFonts w:eastAsia="Times New Roman" w:cs="Times New Roman"/>
          <w:color w:val="000000"/>
        </w:rPr>
        <w:t xml:space="preserve">,” a likely derivation of the verb </w:t>
      </w:r>
      <w:r w:rsidR="008C539A" w:rsidRPr="002A3D67">
        <w:rPr>
          <w:rFonts w:eastAsia="Times New Roman" w:cs="Times New Roman"/>
          <w:i/>
          <w:color w:val="000000"/>
        </w:rPr>
        <w:t>essayer</w:t>
      </w:r>
      <w:r w:rsidR="008C539A" w:rsidRPr="002A3D67">
        <w:rPr>
          <w:rFonts w:eastAsia="Times New Roman" w:cs="Times New Roman"/>
          <w:color w:val="000000"/>
        </w:rPr>
        <w:t>, possibly in an antiquated version of its imperative form (</w:t>
      </w:r>
      <w:r w:rsidR="008C539A" w:rsidRPr="002A3D67">
        <w:rPr>
          <w:rFonts w:eastAsia="Times New Roman" w:cs="Times New Roman"/>
          <w:i/>
          <w:color w:val="000000"/>
        </w:rPr>
        <w:t>essaie</w:t>
      </w:r>
      <w:r w:rsidR="008C539A" w:rsidRPr="002A3D67">
        <w:rPr>
          <w:rFonts w:eastAsia="Times New Roman" w:cs="Times New Roman"/>
          <w:color w:val="000000"/>
        </w:rPr>
        <w:t xml:space="preserve"> or </w:t>
      </w:r>
      <w:r w:rsidR="008C539A" w:rsidRPr="002A3D67">
        <w:rPr>
          <w:rFonts w:eastAsia="Times New Roman" w:cs="Times New Roman"/>
          <w:i/>
          <w:color w:val="000000"/>
        </w:rPr>
        <w:t>essaye</w:t>
      </w:r>
      <w:r w:rsidR="008C539A" w:rsidRPr="002A3D67">
        <w:rPr>
          <w:rFonts w:eastAsia="Times New Roman" w:cs="Times New Roman"/>
          <w:color w:val="000000"/>
        </w:rPr>
        <w:t>). This would indicate that the author wrote a reminder</w:t>
      </w:r>
      <w:r w:rsidR="007246A4" w:rsidRPr="002A3D67">
        <w:rPr>
          <w:rFonts w:eastAsia="Times New Roman" w:cs="Times New Roman"/>
          <w:color w:val="000000"/>
        </w:rPr>
        <w:t xml:space="preserve"> to himself</w:t>
      </w:r>
      <w:r w:rsidR="008C539A" w:rsidRPr="002A3D67">
        <w:rPr>
          <w:rFonts w:eastAsia="Times New Roman" w:cs="Times New Roman"/>
          <w:color w:val="000000"/>
        </w:rPr>
        <w:t xml:space="preserve"> to try the herb recipe, suggesting that he copied down these recipes from another source or without havi</w:t>
      </w:r>
      <w:r w:rsidR="00D36474" w:rsidRPr="002A3D67">
        <w:rPr>
          <w:rFonts w:eastAsia="Times New Roman" w:cs="Times New Roman"/>
          <w:color w:val="000000"/>
        </w:rPr>
        <w:t xml:space="preserve">ng actually </w:t>
      </w:r>
      <w:r w:rsidR="002A3256" w:rsidRPr="002A3D67">
        <w:rPr>
          <w:rFonts w:eastAsia="Times New Roman" w:cs="Times New Roman"/>
          <w:color w:val="000000"/>
        </w:rPr>
        <w:t>executed</w:t>
      </w:r>
      <w:r w:rsidR="009C603F" w:rsidRPr="002A3D67">
        <w:rPr>
          <w:rFonts w:eastAsia="Times New Roman" w:cs="Times New Roman"/>
          <w:color w:val="000000"/>
        </w:rPr>
        <w:t xml:space="preserve"> them himself. This hypothesis is</w:t>
      </w:r>
      <w:r w:rsidR="00D36474" w:rsidRPr="002A3D67">
        <w:rPr>
          <w:rFonts w:eastAsia="Times New Roman" w:cs="Times New Roman"/>
          <w:color w:val="000000"/>
        </w:rPr>
        <w:t xml:space="preserve"> affirmed by the curtness of the recipes on this folio.</w:t>
      </w:r>
    </w:p>
    <w:p w14:paraId="4010453C" w14:textId="5E2656D6" w:rsidR="00140255" w:rsidRPr="002A3D67" w:rsidRDefault="002B7D84" w:rsidP="00975A0F">
      <w:pPr>
        <w:spacing w:line="480" w:lineRule="auto"/>
        <w:ind w:firstLine="720"/>
        <w:rPr>
          <w:rFonts w:eastAsia="Times New Roman" w:cs="Times New Roman"/>
          <w:color w:val="000000"/>
        </w:rPr>
      </w:pPr>
      <w:r w:rsidRPr="002A3D67">
        <w:rPr>
          <w:rFonts w:cs="Times New Roman"/>
        </w:rPr>
        <w:t xml:space="preserve">One might surmise, in turn, that the recipe for molding ink on fol. 131r was simply a “thought experiment,” an idea jotted down without </w:t>
      </w:r>
      <w:r w:rsidR="005D2ED9" w:rsidRPr="002A3D67">
        <w:rPr>
          <w:rFonts w:cs="Times New Roman"/>
        </w:rPr>
        <w:t>empirical</w:t>
      </w:r>
      <w:r w:rsidR="001B2830" w:rsidRPr="002A3D67">
        <w:rPr>
          <w:rFonts w:cs="Times New Roman"/>
        </w:rPr>
        <w:t xml:space="preserve"> testing. </w:t>
      </w:r>
      <w:r w:rsidR="00166C5A" w:rsidRPr="002A3D67">
        <w:rPr>
          <w:rFonts w:cs="Times New Roman"/>
        </w:rPr>
        <w:t xml:space="preserve">The sources for such an idea are likely not textual, as no exact precedent for this recipe in printed books could be found. </w:t>
      </w:r>
      <w:r w:rsidR="007429E0" w:rsidRPr="002A3D67">
        <w:rPr>
          <w:rFonts w:cs="Times New Roman"/>
        </w:rPr>
        <w:t>Rather, this</w:t>
      </w:r>
      <w:r w:rsidR="00FF7A58" w:rsidRPr="002A3D67">
        <w:rPr>
          <w:rFonts w:cs="Times New Roman"/>
        </w:rPr>
        <w:t xml:space="preserve"> recipe seems closely related first to a </w:t>
      </w:r>
      <w:r w:rsidR="00140255" w:rsidRPr="002A3D67">
        <w:rPr>
          <w:rFonts w:cs="Times New Roman"/>
        </w:rPr>
        <w:t>number</w:t>
      </w:r>
      <w:r w:rsidR="00FF7A58" w:rsidRPr="002A3D67">
        <w:rPr>
          <w:rFonts w:cs="Times New Roman"/>
        </w:rPr>
        <w:t xml:space="preserve"> of recipes </w:t>
      </w:r>
      <w:r w:rsidR="00FA7CF8" w:rsidRPr="002A3D67">
        <w:rPr>
          <w:rFonts w:cs="Times New Roman"/>
        </w:rPr>
        <w:t xml:space="preserve">related to writing </w:t>
      </w:r>
      <w:r w:rsidR="00FF7A58" w:rsidRPr="002A3D67">
        <w:rPr>
          <w:rFonts w:cs="Times New Roman"/>
        </w:rPr>
        <w:t>foun</w:t>
      </w:r>
      <w:r w:rsidR="003C2F52" w:rsidRPr="002A3D67">
        <w:rPr>
          <w:rFonts w:cs="Times New Roman"/>
        </w:rPr>
        <w:t xml:space="preserve">d </w:t>
      </w:r>
      <w:r w:rsidR="0062471B" w:rsidRPr="002A3D67">
        <w:rPr>
          <w:rFonts w:cs="Times New Roman"/>
        </w:rPr>
        <w:t>much</w:t>
      </w:r>
      <w:r w:rsidR="003C2F52" w:rsidRPr="002A3D67">
        <w:rPr>
          <w:rFonts w:cs="Times New Roman"/>
        </w:rPr>
        <w:t xml:space="preserve"> earlier in the manuscript. </w:t>
      </w:r>
      <w:r w:rsidR="00140255" w:rsidRPr="002A3D67">
        <w:rPr>
          <w:rFonts w:cs="Times New Roman"/>
        </w:rPr>
        <w:t>On fol. 19v is a recipe titled “To write on the left as well as on the right way,” which states: “</w:t>
      </w:r>
      <w:r w:rsidR="00140255" w:rsidRPr="002A3D67">
        <w:rPr>
          <w:rFonts w:eastAsia="Times New Roman" w:cs="Times New Roman"/>
          <w:color w:val="000000"/>
        </w:rPr>
        <w:t>Write in the best manner possible with some well gummed ink [</w:t>
      </w:r>
      <w:r w:rsidR="00140255" w:rsidRPr="002A3D67">
        <w:rPr>
          <w:rFonts w:eastAsia="Times New Roman" w:cs="Times New Roman"/>
          <w:i/>
          <w:color w:val="000000"/>
        </w:rPr>
        <w:t>encre bien gommé</w:t>
      </w:r>
      <w:r w:rsidR="00140255" w:rsidRPr="002A3D67">
        <w:rPr>
          <w:rFonts w:eastAsia="Times New Roman" w:cs="Times New Roman"/>
          <w:color w:val="000000"/>
        </w:rPr>
        <w:t xml:space="preserve">] on as many cards as many words you want to write and when your letter is full of ink, apply your paper and rub with a tooth the back of the cartel.” </w:t>
      </w:r>
      <w:r w:rsidR="00576BCA" w:rsidRPr="002A3D67">
        <w:rPr>
          <w:rFonts w:eastAsia="Times New Roman" w:cs="Times New Roman"/>
          <w:color w:val="000000"/>
        </w:rPr>
        <w:t>This recipe provides a nearly identical process to th</w:t>
      </w:r>
      <w:r w:rsidR="00605F39" w:rsidRPr="002A3D67">
        <w:rPr>
          <w:rFonts w:eastAsia="Times New Roman" w:cs="Times New Roman"/>
          <w:color w:val="000000"/>
        </w:rPr>
        <w:t xml:space="preserve">at described in the first half of the recipe on fol. 131r, using the properties of raised </w:t>
      </w:r>
      <w:r w:rsidR="00AA6B8C" w:rsidRPr="002A3D67">
        <w:rPr>
          <w:rFonts w:eastAsia="Times New Roman" w:cs="Times New Roman"/>
          <w:color w:val="000000"/>
        </w:rPr>
        <w:t xml:space="preserve">ink to create an </w:t>
      </w:r>
      <w:r w:rsidR="00ED1396" w:rsidRPr="002A3D67">
        <w:rPr>
          <w:rFonts w:eastAsia="Times New Roman" w:cs="Times New Roman"/>
          <w:color w:val="000000"/>
        </w:rPr>
        <w:t>imprint</w:t>
      </w:r>
      <w:r w:rsidR="00445F70" w:rsidRPr="002A3D67">
        <w:rPr>
          <w:rFonts w:eastAsia="Times New Roman" w:cs="Times New Roman"/>
          <w:color w:val="000000"/>
        </w:rPr>
        <w:t xml:space="preserve"> </w:t>
      </w:r>
      <w:r w:rsidR="00AA6B8C" w:rsidRPr="002A3D67">
        <w:rPr>
          <w:rFonts w:eastAsia="Times New Roman" w:cs="Times New Roman"/>
          <w:color w:val="000000"/>
        </w:rPr>
        <w:t>onto</w:t>
      </w:r>
      <w:r w:rsidR="00605F39" w:rsidRPr="002A3D67">
        <w:rPr>
          <w:rFonts w:eastAsia="Times New Roman" w:cs="Times New Roman"/>
          <w:color w:val="000000"/>
        </w:rPr>
        <w:t xml:space="preserve"> another surface.</w:t>
      </w:r>
      <w:r w:rsidR="00ED1396" w:rsidRPr="002A3D67">
        <w:rPr>
          <w:rFonts w:eastAsia="Times New Roman" w:cs="Times New Roman"/>
          <w:color w:val="000000"/>
        </w:rPr>
        <w:t xml:space="preserve"> </w:t>
      </w:r>
      <w:r w:rsidR="00D818A5" w:rsidRPr="002A3D67">
        <w:rPr>
          <w:rFonts w:eastAsia="Times New Roman" w:cs="Times New Roman"/>
          <w:color w:val="000000"/>
        </w:rPr>
        <w:t xml:space="preserve">It is highly significant that on fol. 19v the recipe explicitly focuses on using this technique to reverse the direction of one’s words, as this same process </w:t>
      </w:r>
      <w:r w:rsidR="00303F1D" w:rsidRPr="002A3D67">
        <w:rPr>
          <w:rFonts w:eastAsia="Times New Roman" w:cs="Times New Roman"/>
          <w:color w:val="000000"/>
        </w:rPr>
        <w:t>obviously occurred when reconstructing</w:t>
      </w:r>
      <w:r w:rsidR="00D818A5" w:rsidRPr="002A3D67">
        <w:rPr>
          <w:rFonts w:eastAsia="Times New Roman" w:cs="Times New Roman"/>
          <w:color w:val="000000"/>
        </w:rPr>
        <w:t xml:space="preserve"> in the recipe on fol. 131r</w:t>
      </w:r>
      <w:r w:rsidR="00E32E7D">
        <w:rPr>
          <w:rFonts w:eastAsia="Times New Roman" w:cs="Times New Roman"/>
          <w:color w:val="000000"/>
        </w:rPr>
        <w:t xml:space="preserve">. </w:t>
      </w:r>
      <w:r w:rsidR="008C770E" w:rsidRPr="002A3D67">
        <w:rPr>
          <w:rFonts w:eastAsia="Times New Roman" w:cs="Times New Roman"/>
          <w:color w:val="000000"/>
        </w:rPr>
        <w:t>In the case of the recipe on fol. 131r, however,</w:t>
      </w:r>
      <w:r w:rsidR="00D818A5" w:rsidRPr="002A3D67">
        <w:rPr>
          <w:rFonts w:eastAsia="Times New Roman" w:cs="Times New Roman"/>
          <w:color w:val="000000"/>
        </w:rPr>
        <w:t xml:space="preserve"> if something were cast into the clay, </w:t>
      </w:r>
      <w:r w:rsidR="00DC3ACB" w:rsidRPr="002A3D67">
        <w:rPr>
          <w:rFonts w:eastAsia="Times New Roman" w:cs="Times New Roman"/>
          <w:color w:val="000000"/>
        </w:rPr>
        <w:t>it would emerge with the writing again facing in the normal direction</w:t>
      </w:r>
      <w:r w:rsidR="00AC4033" w:rsidRPr="002A3D67">
        <w:rPr>
          <w:rFonts w:eastAsia="Times New Roman" w:cs="Times New Roman"/>
          <w:color w:val="000000"/>
        </w:rPr>
        <w:t>. This may indicate</w:t>
      </w:r>
      <w:r w:rsidR="00FE0530" w:rsidRPr="002A3D67">
        <w:rPr>
          <w:rFonts w:eastAsia="Times New Roman" w:cs="Times New Roman"/>
          <w:color w:val="000000"/>
        </w:rPr>
        <w:t xml:space="preserve"> why the reversal of text was not </w:t>
      </w:r>
      <w:r w:rsidR="00AC4033" w:rsidRPr="002A3D67">
        <w:rPr>
          <w:rFonts w:eastAsia="Times New Roman" w:cs="Times New Roman"/>
          <w:color w:val="000000"/>
        </w:rPr>
        <w:t>explicitly discussed</w:t>
      </w:r>
      <w:r w:rsidR="00FE0530" w:rsidRPr="002A3D67">
        <w:rPr>
          <w:rFonts w:eastAsia="Times New Roman" w:cs="Times New Roman"/>
          <w:color w:val="000000"/>
        </w:rPr>
        <w:t xml:space="preserve"> </w:t>
      </w:r>
      <w:r w:rsidR="000261E0" w:rsidRPr="002A3D67">
        <w:rPr>
          <w:rFonts w:eastAsia="Times New Roman" w:cs="Times New Roman"/>
          <w:color w:val="000000"/>
        </w:rPr>
        <w:t>on fol. 131r.</w:t>
      </w:r>
    </w:p>
    <w:p w14:paraId="154298FB" w14:textId="5E34209F" w:rsidR="00A75F6E" w:rsidRPr="002A3D67" w:rsidRDefault="00687929" w:rsidP="00975A0F">
      <w:pPr>
        <w:spacing w:line="480" w:lineRule="auto"/>
        <w:rPr>
          <w:rFonts w:cs="Times New Roman"/>
        </w:rPr>
      </w:pPr>
      <w:r w:rsidRPr="002A3D67">
        <w:rPr>
          <w:rFonts w:eastAsia="Times New Roman" w:cs="Times New Roman"/>
          <w:color w:val="000000"/>
        </w:rPr>
        <w:tab/>
      </w:r>
      <w:r w:rsidR="006E4A78" w:rsidRPr="002A3D67">
        <w:rPr>
          <w:rFonts w:eastAsia="Times New Roman" w:cs="Times New Roman"/>
          <w:color w:val="000000"/>
        </w:rPr>
        <w:t xml:space="preserve">The manuscript features an additional group of recipes related to writing that show the author’s broader concern with practical techniques related to this process. On fol. 46v is a series of </w:t>
      </w:r>
      <w:r w:rsidR="00BA319B" w:rsidRPr="002A3D67">
        <w:rPr>
          <w:rFonts w:eastAsia="Times New Roman" w:cs="Times New Roman"/>
          <w:color w:val="000000"/>
        </w:rPr>
        <w:t>such</w:t>
      </w:r>
      <w:r w:rsidR="006E4A78" w:rsidRPr="002A3D67">
        <w:rPr>
          <w:rFonts w:eastAsia="Times New Roman" w:cs="Times New Roman"/>
          <w:color w:val="000000"/>
        </w:rPr>
        <w:t xml:space="preserve"> recipes, “</w:t>
      </w:r>
      <w:r w:rsidR="00766FFD" w:rsidRPr="002A3D67">
        <w:rPr>
          <w:rFonts w:cs="Times New Roman"/>
          <w:color w:val="000000"/>
        </w:rPr>
        <w:t>Sulf</w:t>
      </w:r>
      <w:r w:rsidR="006E4A78" w:rsidRPr="002A3D67">
        <w:rPr>
          <w:rFonts w:cs="Times New Roman"/>
          <w:color w:val="000000"/>
        </w:rPr>
        <w:t>ur oil for the scribe” (used to clean a quill), “Shoemaker” (writing permanent text on shoes), “Erase lettering” (removing previously written text), “How to write without ink,” “How to make a letter on other material,” and at the end, “Black letter on stone</w:t>
      </w:r>
      <w:r w:rsidR="006E4A78" w:rsidRPr="002A3D67">
        <w:rPr>
          <w:rFonts w:cs="Times New Roman"/>
        </w:rPr>
        <w:t xml:space="preserve">.” All such recipes </w:t>
      </w:r>
      <w:r w:rsidRPr="002A3D67">
        <w:rPr>
          <w:rFonts w:cs="Times New Roman"/>
        </w:rPr>
        <w:t>are composed of</w:t>
      </w:r>
      <w:r w:rsidR="006E4A78" w:rsidRPr="002A3D67">
        <w:rPr>
          <w:rFonts w:cs="Times New Roman"/>
        </w:rPr>
        <w:t xml:space="preserve"> very brief descriptions with no cross-outs or marginal notes.</w:t>
      </w:r>
      <w:r w:rsidRPr="002A3D67">
        <w:rPr>
          <w:rFonts w:cs="Times New Roman"/>
        </w:rPr>
        <w:t xml:space="preserve"> It is difficult to know how thoroughly these recipes </w:t>
      </w:r>
      <w:r w:rsidR="006C356B" w:rsidRPr="002A3D67">
        <w:rPr>
          <w:rFonts w:cs="Times New Roman"/>
        </w:rPr>
        <w:t>were actually tested, although a</w:t>
      </w:r>
      <w:r w:rsidRPr="002A3D67">
        <w:rPr>
          <w:rFonts w:cs="Times New Roman"/>
        </w:rPr>
        <w:t xml:space="preserve"> recipe interspersed among </w:t>
      </w:r>
      <w:r w:rsidR="006C356B" w:rsidRPr="002A3D67">
        <w:rPr>
          <w:rFonts w:cs="Times New Roman"/>
        </w:rPr>
        <w:t>them</w:t>
      </w:r>
      <w:r w:rsidRPr="002A3D67">
        <w:rPr>
          <w:rFonts w:cs="Times New Roman"/>
        </w:rPr>
        <w:t xml:space="preserve"> indicating that the soot from used paper can heat boots </w:t>
      </w:r>
      <w:r w:rsidR="00573141" w:rsidRPr="002A3D67">
        <w:rPr>
          <w:rFonts w:cs="Times New Roman"/>
        </w:rPr>
        <w:t>indicates</w:t>
      </w:r>
      <w:r w:rsidRPr="002A3D67">
        <w:rPr>
          <w:rFonts w:cs="Times New Roman"/>
        </w:rPr>
        <w:t xml:space="preserve"> knowledge of the properties </w:t>
      </w:r>
      <w:r w:rsidR="00573141" w:rsidRPr="002A3D67">
        <w:rPr>
          <w:rFonts w:cs="Times New Roman"/>
        </w:rPr>
        <w:t>of</w:t>
      </w:r>
      <w:r w:rsidRPr="002A3D67">
        <w:rPr>
          <w:rFonts w:cs="Times New Roman"/>
        </w:rPr>
        <w:t xml:space="preserve"> the materials </w:t>
      </w:r>
      <w:r w:rsidR="00573141" w:rsidRPr="002A3D67">
        <w:rPr>
          <w:rFonts w:cs="Times New Roman"/>
        </w:rPr>
        <w:t>required</w:t>
      </w:r>
      <w:r w:rsidRPr="002A3D67">
        <w:rPr>
          <w:rFonts w:cs="Times New Roman"/>
        </w:rPr>
        <w:t>.</w:t>
      </w:r>
      <w:r w:rsidR="00FB2043" w:rsidRPr="002A3D67">
        <w:rPr>
          <w:rFonts w:cs="Times New Roman"/>
        </w:rPr>
        <w:t xml:space="preserve"> While such </w:t>
      </w:r>
      <w:r w:rsidR="006C356B" w:rsidRPr="002A3D67">
        <w:rPr>
          <w:rFonts w:cs="Times New Roman"/>
        </w:rPr>
        <w:t>writing techniques</w:t>
      </w:r>
      <w:r w:rsidR="00FB2043" w:rsidRPr="002A3D67">
        <w:rPr>
          <w:rFonts w:cs="Times New Roman"/>
        </w:rPr>
        <w:t xml:space="preserve"> may seem playful or </w:t>
      </w:r>
      <w:r w:rsidR="008976DE" w:rsidRPr="002A3D67">
        <w:rPr>
          <w:rFonts w:cs="Times New Roman"/>
        </w:rPr>
        <w:t xml:space="preserve">even </w:t>
      </w:r>
      <w:r w:rsidR="006C356B" w:rsidRPr="002A3D67">
        <w:rPr>
          <w:rFonts w:cs="Times New Roman"/>
        </w:rPr>
        <w:t>trivial</w:t>
      </w:r>
      <w:r w:rsidR="00FB2043" w:rsidRPr="002A3D67">
        <w:rPr>
          <w:rFonts w:cs="Times New Roman"/>
        </w:rPr>
        <w:t>, there are numerous examples of recipes in books of secrets for erasing ink</w:t>
      </w:r>
      <w:r w:rsidR="009863A4" w:rsidRPr="002A3D67">
        <w:rPr>
          <w:rFonts w:cs="Times New Roman"/>
        </w:rPr>
        <w:t>, as well as for the production of invisible ink</w:t>
      </w:r>
      <w:r w:rsidR="00A442A3" w:rsidRPr="002A3D67">
        <w:rPr>
          <w:rFonts w:cs="Times New Roman"/>
        </w:rPr>
        <w:t>, for example</w:t>
      </w:r>
      <w:r w:rsidR="00FB2043" w:rsidRPr="002A3D67">
        <w:rPr>
          <w:rFonts w:cs="Times New Roman"/>
        </w:rPr>
        <w:t>.</w:t>
      </w:r>
      <w:r w:rsidR="00FB2043" w:rsidRPr="002A3D67">
        <w:rPr>
          <w:rStyle w:val="FootnoteReference"/>
          <w:rFonts w:cs="Times New Roman"/>
        </w:rPr>
        <w:footnoteReference w:id="16"/>
      </w:r>
    </w:p>
    <w:p w14:paraId="1B1A7441" w14:textId="3DB7E484" w:rsidR="005177D6" w:rsidRPr="002A3D67" w:rsidRDefault="00F83368" w:rsidP="00911C56">
      <w:pPr>
        <w:spacing w:line="480" w:lineRule="auto"/>
        <w:rPr>
          <w:rFonts w:cs="Times New Roman"/>
        </w:rPr>
      </w:pPr>
      <w:r w:rsidRPr="002A3D67">
        <w:tab/>
      </w:r>
      <w:r w:rsidR="00057473" w:rsidRPr="002A3D67">
        <w:rPr>
          <w:rFonts w:cs="Times New Roman"/>
        </w:rPr>
        <w:t>In the case of the recipe on fol. 131r, t</w:t>
      </w:r>
      <w:r w:rsidRPr="002A3D67">
        <w:rPr>
          <w:rFonts w:cs="Times New Roman"/>
        </w:rPr>
        <w:t xml:space="preserve">he manuscript author’s </w:t>
      </w:r>
      <w:r w:rsidR="00842239" w:rsidRPr="002A3D67">
        <w:rPr>
          <w:rFonts w:cs="Times New Roman"/>
        </w:rPr>
        <w:t>decision to</w:t>
      </w:r>
      <w:r w:rsidRPr="002A3D67">
        <w:rPr>
          <w:rFonts w:cs="Times New Roman"/>
        </w:rPr>
        <w:t xml:space="preserve"> </w:t>
      </w:r>
      <w:r w:rsidR="003312A9" w:rsidRPr="002A3D67">
        <w:rPr>
          <w:rFonts w:cs="Times New Roman"/>
        </w:rPr>
        <w:t>connect paper with raised ink</w:t>
      </w:r>
      <w:r w:rsidRPr="002A3D67">
        <w:rPr>
          <w:rFonts w:cs="Times New Roman"/>
        </w:rPr>
        <w:t xml:space="preserve"> </w:t>
      </w:r>
      <w:r w:rsidR="00103BD9" w:rsidRPr="002A3D67">
        <w:rPr>
          <w:rFonts w:cs="Times New Roman"/>
        </w:rPr>
        <w:t>with</w:t>
      </w:r>
      <w:r w:rsidRPr="002A3D67">
        <w:rPr>
          <w:rFonts w:cs="Times New Roman"/>
        </w:rPr>
        <w:t xml:space="preserve"> </w:t>
      </w:r>
      <w:r w:rsidR="00522CFA" w:rsidRPr="002A3D67">
        <w:rPr>
          <w:rFonts w:cs="Times New Roman"/>
        </w:rPr>
        <w:t xml:space="preserve">making an impression in clay likely relates to his broader </w:t>
      </w:r>
      <w:r w:rsidR="00842239" w:rsidRPr="002A3D67">
        <w:rPr>
          <w:rFonts w:cs="Times New Roman"/>
        </w:rPr>
        <w:t>interest</w:t>
      </w:r>
      <w:r w:rsidR="00522CFA" w:rsidRPr="002A3D67">
        <w:rPr>
          <w:rFonts w:cs="Times New Roman"/>
        </w:rPr>
        <w:t xml:space="preserve"> </w:t>
      </w:r>
      <w:r w:rsidR="00842239" w:rsidRPr="002A3D67">
        <w:rPr>
          <w:rFonts w:cs="Times New Roman"/>
        </w:rPr>
        <w:t>in</w:t>
      </w:r>
      <w:r w:rsidR="00A14D08" w:rsidRPr="002A3D67">
        <w:rPr>
          <w:rFonts w:cs="Times New Roman"/>
        </w:rPr>
        <w:t xml:space="preserve"> mold</w:t>
      </w:r>
      <w:r w:rsidR="00842239" w:rsidRPr="002A3D67">
        <w:rPr>
          <w:rFonts w:cs="Times New Roman"/>
        </w:rPr>
        <w:t>ing</w:t>
      </w:r>
      <w:r w:rsidR="00A14D08" w:rsidRPr="002A3D67">
        <w:rPr>
          <w:rFonts w:cs="Times New Roman"/>
        </w:rPr>
        <w:t xml:space="preserve"> very </w:t>
      </w:r>
      <w:r w:rsidR="00EF3ED4" w:rsidRPr="002A3D67">
        <w:rPr>
          <w:rFonts w:cs="Times New Roman"/>
        </w:rPr>
        <w:t>thin</w:t>
      </w:r>
      <w:r w:rsidR="00A14D08" w:rsidRPr="002A3D67">
        <w:rPr>
          <w:rFonts w:cs="Times New Roman"/>
        </w:rPr>
        <w:t xml:space="preserve"> materials, which is bor</w:t>
      </w:r>
      <w:r w:rsidR="00554789" w:rsidRPr="002A3D67">
        <w:rPr>
          <w:rFonts w:cs="Times New Roman"/>
        </w:rPr>
        <w:t>ne out in numerous recipes on nearby folios in the manuscript.</w:t>
      </w:r>
      <w:r w:rsidR="0055435C" w:rsidRPr="002A3D67">
        <w:rPr>
          <w:rFonts w:cs="Times New Roman"/>
        </w:rPr>
        <w:t xml:space="preserve"> </w:t>
      </w:r>
      <w:r w:rsidR="00B10CB0" w:rsidRPr="002A3D67">
        <w:rPr>
          <w:rFonts w:cs="Times New Roman"/>
        </w:rPr>
        <w:t>On fol. 142r the author gives the recipe for “Molding grasshoppers and other things too thin,” which begins:</w:t>
      </w:r>
    </w:p>
    <w:p w14:paraId="36AC3A21" w14:textId="4FAC2BD5" w:rsidR="00A75F6E" w:rsidRPr="002A3D67" w:rsidRDefault="00B10CB0" w:rsidP="005177D6">
      <w:pPr>
        <w:ind w:left="720" w:right="720"/>
        <w:rPr>
          <w:rFonts w:cs="Times New Roman"/>
          <w:sz w:val="22"/>
          <w:szCs w:val="22"/>
        </w:rPr>
      </w:pPr>
      <w:r w:rsidRPr="002A3D67">
        <w:rPr>
          <w:rFonts w:cs="Times New Roman"/>
          <w:color w:val="1D1D1D"/>
          <w:sz w:val="22"/>
          <w:szCs w:val="22"/>
        </w:rPr>
        <w:t>If you have a piece of written paper to mold, which is very thin, after you have made a first casting and it has taken, add a little thickness to the back of your paper with some melted butter, which is the most appropriate means there is, and [this method applies as well] for strengthening the wings of either a butterfly or grasshopper, or any delicate part of an animal for which you need to add some thickness.</w:t>
      </w:r>
    </w:p>
    <w:p w14:paraId="3518DA2A" w14:textId="77777777" w:rsidR="00522CFA" w:rsidRPr="002A3D67" w:rsidRDefault="00522CFA" w:rsidP="003E1A9F"/>
    <w:p w14:paraId="1257F2AE" w14:textId="044407C6" w:rsidR="00392551" w:rsidRDefault="005177D6" w:rsidP="00975A0F">
      <w:pPr>
        <w:spacing w:line="480" w:lineRule="auto"/>
      </w:pPr>
      <w:r w:rsidRPr="002A3D67">
        <w:t xml:space="preserve">The </w:t>
      </w:r>
      <w:r w:rsidR="007E2CDE" w:rsidRPr="002A3D67">
        <w:t>technique</w:t>
      </w:r>
      <w:r w:rsidRPr="002A3D67">
        <w:t xml:space="preserve"> </w:t>
      </w:r>
      <w:r w:rsidR="00A631EF" w:rsidRPr="002A3D67">
        <w:t xml:space="preserve">of adding </w:t>
      </w:r>
      <w:r w:rsidRPr="002A3D67">
        <w:t>butter to</w:t>
      </w:r>
      <w:r w:rsidR="00A76672" w:rsidRPr="002A3D67">
        <w:t xml:space="preserve"> the back of</w:t>
      </w:r>
      <w:r w:rsidR="00A631EF" w:rsidRPr="002A3D67">
        <w:t xml:space="preserve"> paper recalls a </w:t>
      </w:r>
      <w:r w:rsidR="007E2CDE" w:rsidRPr="002A3D67">
        <w:t>similar recommendation by</w:t>
      </w:r>
      <w:r w:rsidR="00A631EF" w:rsidRPr="002A3D67">
        <w:t xml:space="preserve"> the manuscript author </w:t>
      </w:r>
      <w:r w:rsidR="007E5FFE" w:rsidRPr="002A3D67">
        <w:t>for the</w:t>
      </w:r>
      <w:r w:rsidR="00A631EF" w:rsidRPr="002A3D67">
        <w:t xml:space="preserve"> casting</w:t>
      </w:r>
      <w:r w:rsidR="007E5FFE" w:rsidRPr="002A3D67">
        <w:t xml:space="preserve"> of</w:t>
      </w:r>
      <w:r w:rsidR="00A631EF" w:rsidRPr="002A3D67">
        <w:t xml:space="preserve"> rose petals.</w:t>
      </w:r>
      <w:r w:rsidR="00A631EF" w:rsidRPr="002A3D67">
        <w:rPr>
          <w:rStyle w:val="FootnoteReference"/>
        </w:rPr>
        <w:footnoteReference w:id="17"/>
      </w:r>
      <w:r w:rsidR="00A76672" w:rsidRPr="002A3D67">
        <w:t xml:space="preserve"> </w:t>
      </w:r>
      <w:r w:rsidR="00411FC5" w:rsidRPr="002A3D67">
        <w:t xml:space="preserve">As this recipe </w:t>
      </w:r>
      <w:r w:rsidR="00A118ED" w:rsidRPr="002A3D67">
        <w:t>and others suggest</w:t>
      </w:r>
      <w:r w:rsidR="00411FC5" w:rsidRPr="002A3D67">
        <w:t>, the author has established a category of very thin objects that are (evidently) common subjects for casting, such as paper, flower petals and insect wings.</w:t>
      </w:r>
      <w:r w:rsidR="00DD5443" w:rsidRPr="002A3D67">
        <w:rPr>
          <w:rStyle w:val="FootnoteReference"/>
        </w:rPr>
        <w:footnoteReference w:id="18"/>
      </w:r>
      <w:r w:rsidR="00411FC5" w:rsidRPr="002A3D67">
        <w:t xml:space="preserve"> </w:t>
      </w:r>
      <w:r w:rsidR="00505F9B" w:rsidRPr="002A3D67">
        <w:t>The author is developing a set of techniques for casting such objects</w:t>
      </w:r>
      <w:r w:rsidR="00375EA2" w:rsidRPr="002A3D67">
        <w:t>, such as widening them</w:t>
      </w:r>
      <w:r w:rsidR="00505F9B" w:rsidRPr="002A3D67">
        <w:t xml:space="preserve">, as it is understandably difficult </w:t>
      </w:r>
      <w:r w:rsidR="00DD5443" w:rsidRPr="002A3D67">
        <w:t>to make</w:t>
      </w:r>
      <w:r w:rsidR="00505F9B" w:rsidRPr="002A3D67">
        <w:t xml:space="preserve"> an impression </w:t>
      </w:r>
      <w:r w:rsidR="00DD5443" w:rsidRPr="002A3D67">
        <w:t>when such objects have a very narrow thickness.</w:t>
      </w:r>
      <w:r w:rsidR="004559E0" w:rsidRPr="002A3D67">
        <w:rPr>
          <w:rStyle w:val="FootnoteReference"/>
        </w:rPr>
        <w:footnoteReference w:id="19"/>
      </w:r>
      <w:r w:rsidR="008D111C" w:rsidRPr="002A3D67">
        <w:t xml:space="preserve"> </w:t>
      </w:r>
      <w:r w:rsidR="002B101F" w:rsidRPr="002A3D67">
        <w:t>As the</w:t>
      </w:r>
      <w:r w:rsidR="008D111C" w:rsidRPr="002A3D67">
        <w:t xml:space="preserve"> reconstruction </w:t>
      </w:r>
      <w:r w:rsidR="002B101F" w:rsidRPr="002A3D67">
        <w:t>showed, fine clay would likely warp too much when dried to make an effective cast of paper. In turn, i</w:t>
      </w:r>
      <w:r w:rsidR="008D111C" w:rsidRPr="002A3D67">
        <w:t>t is understandable that the author would recommend a shortcut</w:t>
      </w:r>
      <w:r w:rsidR="002B101F" w:rsidRPr="002A3D67">
        <w:t xml:space="preserve"> for casting thin things</w:t>
      </w:r>
      <w:r w:rsidR="008D111C" w:rsidRPr="002A3D67">
        <w:t>, as he does i</w:t>
      </w:r>
      <w:r w:rsidR="00DD5443" w:rsidRPr="002A3D67">
        <w:t>n a se</w:t>
      </w:r>
      <w:r w:rsidR="002B101F" w:rsidRPr="002A3D67">
        <w:t xml:space="preserve">parate recipe for </w:t>
      </w:r>
      <w:r w:rsidR="003F764F" w:rsidRPr="002A3D67">
        <w:t>molding a fly</w:t>
      </w:r>
      <w:r w:rsidR="00DD5443" w:rsidRPr="002A3D67">
        <w:t xml:space="preserve">, </w:t>
      </w:r>
      <w:r w:rsidR="008D111C" w:rsidRPr="002A3D67">
        <w:t>noting</w:t>
      </w:r>
      <w:r w:rsidR="00DD5443" w:rsidRPr="002A3D67">
        <w:t xml:space="preserve"> that </w:t>
      </w:r>
      <w:r w:rsidR="003F764F" w:rsidRPr="002A3D67">
        <w:t>if it</w:t>
      </w:r>
      <w:r w:rsidR="00981BD9" w:rsidRPr="002A3D67">
        <w:t>s wings are</w:t>
      </w:r>
      <w:r w:rsidR="003F764F" w:rsidRPr="002A3D67">
        <w:t xml:space="preserve"> imperfect,</w:t>
      </w:r>
      <w:r w:rsidR="004559E0" w:rsidRPr="002A3D67">
        <w:t xml:space="preserve"> </w:t>
      </w:r>
      <w:r w:rsidR="00375EA2" w:rsidRPr="002A3D67">
        <w:t>they can be</w:t>
      </w:r>
      <w:r w:rsidR="00DD5443" w:rsidRPr="002A3D67">
        <w:t xml:space="preserve"> </w:t>
      </w:r>
      <w:r w:rsidR="004559E0" w:rsidRPr="002A3D67">
        <w:t xml:space="preserve">made </w:t>
      </w:r>
      <w:r w:rsidR="007D1D23" w:rsidRPr="002A3D67">
        <w:t>by</w:t>
      </w:r>
      <w:r w:rsidR="00DD5443" w:rsidRPr="002A3D67">
        <w:t xml:space="preserve"> </w:t>
      </w:r>
      <w:r w:rsidR="002E4B7A" w:rsidRPr="002A3D67">
        <w:t>cutting</w:t>
      </w:r>
      <w:r w:rsidR="00D61FB3" w:rsidRPr="002A3D67">
        <w:t xml:space="preserve"> out</w:t>
      </w:r>
      <w:r w:rsidR="002E4B7A" w:rsidRPr="002A3D67">
        <w:t xml:space="preserve"> </w:t>
      </w:r>
      <w:r w:rsidR="00866BBE" w:rsidRPr="002A3D67">
        <w:t xml:space="preserve">a small </w:t>
      </w:r>
      <w:r w:rsidR="00D61FB3" w:rsidRPr="002A3D67">
        <w:t>piece from</w:t>
      </w:r>
      <w:r w:rsidR="00866BBE" w:rsidRPr="002A3D67">
        <w:t xml:space="preserve"> </w:t>
      </w:r>
      <w:r w:rsidR="00DD5443" w:rsidRPr="002A3D67">
        <w:t>flattened metal.</w:t>
      </w:r>
      <w:r w:rsidR="00DD5443" w:rsidRPr="002A3D67">
        <w:rPr>
          <w:rStyle w:val="FootnoteReference"/>
        </w:rPr>
        <w:footnoteReference w:id="20"/>
      </w:r>
      <w:r w:rsidR="004559E0" w:rsidRPr="002A3D67">
        <w:t xml:space="preserve"> In the case of the recipe on fol. 131</w:t>
      </w:r>
      <w:r w:rsidR="000B13AF" w:rsidRPr="002A3D67">
        <w:t xml:space="preserve">r, however, such a shortcut would have been </w:t>
      </w:r>
      <w:r w:rsidR="004559E0" w:rsidRPr="002A3D67">
        <w:t xml:space="preserve">impossible, as </w:t>
      </w:r>
      <w:r w:rsidR="000B13AF" w:rsidRPr="002A3D67">
        <w:t xml:space="preserve">the objective was to cast the impression of the </w:t>
      </w:r>
      <w:r w:rsidR="00115721" w:rsidRPr="002A3D67">
        <w:t>lettering</w:t>
      </w:r>
      <w:r w:rsidR="000B13AF" w:rsidRPr="002A3D67">
        <w:t>.</w:t>
      </w:r>
      <w:r w:rsidR="00305287" w:rsidRPr="002A3D67">
        <w:t xml:space="preserve"> </w:t>
      </w:r>
      <w:r w:rsidR="00602476" w:rsidRPr="002A3D67">
        <w:t>With f</w:t>
      </w:r>
      <w:r w:rsidR="00E8181A" w:rsidRPr="002A3D67">
        <w:t>urther experimentation, perhaps</w:t>
      </w:r>
      <w:r w:rsidR="00602476" w:rsidRPr="002A3D67">
        <w:t xml:space="preserve"> the author could have </w:t>
      </w:r>
      <w:r w:rsidR="00F329BB" w:rsidRPr="002A3D67">
        <w:t xml:space="preserve">devised a more </w:t>
      </w:r>
      <w:r w:rsidR="006C2B36" w:rsidRPr="002A3D67">
        <w:t>comprehensive</w:t>
      </w:r>
      <w:r w:rsidR="00F329BB" w:rsidRPr="002A3D67">
        <w:t xml:space="preserve"> recipe</w:t>
      </w:r>
      <w:r w:rsidR="00E8181A" w:rsidRPr="002A3D67">
        <w:t xml:space="preserve"> for casting </w:t>
      </w:r>
      <w:r w:rsidR="00F329BB" w:rsidRPr="002A3D67">
        <w:t xml:space="preserve">raised </w:t>
      </w:r>
      <w:r w:rsidR="00E8181A" w:rsidRPr="002A3D67">
        <w:t>writing</w:t>
      </w:r>
      <w:r w:rsidR="00F329BB" w:rsidRPr="002A3D67">
        <w:t xml:space="preserve"> on</w:t>
      </w:r>
      <w:r w:rsidR="00E8181A" w:rsidRPr="002A3D67">
        <w:t xml:space="preserve"> paper.</w:t>
      </w:r>
    </w:p>
    <w:p w14:paraId="63049B30" w14:textId="77777777" w:rsidR="00F570D0" w:rsidRDefault="00F570D0" w:rsidP="00975A0F">
      <w:pPr>
        <w:spacing w:line="480" w:lineRule="auto"/>
      </w:pPr>
    </w:p>
    <w:p w14:paraId="7815FD4D" w14:textId="77777777" w:rsidR="00B07E20" w:rsidRDefault="00B07E20" w:rsidP="00975A0F">
      <w:pPr>
        <w:spacing w:line="480" w:lineRule="auto"/>
      </w:pPr>
    </w:p>
    <w:p w14:paraId="7EA36AC8" w14:textId="77777777" w:rsidR="00B07E20" w:rsidRDefault="00B07E20" w:rsidP="00975A0F">
      <w:pPr>
        <w:spacing w:line="480" w:lineRule="auto"/>
      </w:pPr>
    </w:p>
    <w:p w14:paraId="5E446594" w14:textId="77777777" w:rsidR="00B07E20" w:rsidRDefault="00B07E20" w:rsidP="00975A0F">
      <w:pPr>
        <w:spacing w:line="480" w:lineRule="auto"/>
      </w:pPr>
    </w:p>
    <w:p w14:paraId="42C2624B" w14:textId="77777777" w:rsidR="00F570D0" w:rsidRDefault="00F570D0" w:rsidP="00975A0F">
      <w:pPr>
        <w:spacing w:line="480" w:lineRule="auto"/>
      </w:pPr>
    </w:p>
    <w:p w14:paraId="5E436E9F" w14:textId="47C4ABAD" w:rsidR="00F570D0" w:rsidRPr="00966274" w:rsidRDefault="00F570D0" w:rsidP="007F4401">
      <w:pPr>
        <w:pStyle w:val="FootnoteText"/>
        <w:ind w:left="720" w:hanging="720"/>
        <w:outlineLvl w:val="0"/>
      </w:pPr>
      <w:r w:rsidRPr="00966274">
        <w:rPr>
          <w:b/>
          <w:u w:val="single"/>
        </w:rPr>
        <w:t>Bibliography</w:t>
      </w:r>
    </w:p>
    <w:p w14:paraId="5BF7AD6A" w14:textId="77777777" w:rsidR="00F570D0" w:rsidRDefault="00F570D0" w:rsidP="00966274">
      <w:pPr>
        <w:pStyle w:val="FootnoteText"/>
        <w:ind w:left="720" w:hanging="720"/>
      </w:pPr>
    </w:p>
    <w:p w14:paraId="3C35A3AD" w14:textId="77777777" w:rsidR="006B4DD6" w:rsidRPr="00966274" w:rsidRDefault="006B4DD6" w:rsidP="006B4DD6">
      <w:pPr>
        <w:pStyle w:val="FootnoteText"/>
        <w:ind w:left="720" w:hanging="720"/>
      </w:pPr>
      <w:r w:rsidRPr="00966274">
        <w:t>Belozerskaya</w:t>
      </w:r>
      <w:r>
        <w:t xml:space="preserve">, </w:t>
      </w:r>
      <w:r w:rsidRPr="00966274">
        <w:t>Marina</w:t>
      </w:r>
      <w:r>
        <w:t>.</w:t>
      </w:r>
      <w:r w:rsidRPr="00966274">
        <w:t xml:space="preserve"> </w:t>
      </w:r>
      <w:r w:rsidRPr="00966274">
        <w:rPr>
          <w:i/>
        </w:rPr>
        <w:t>Luxury Arts of the Renaissance</w:t>
      </w:r>
      <w:r w:rsidRPr="00966274">
        <w:t>. Los Angeles: J. Paul Getty Museum, 2005.</w:t>
      </w:r>
    </w:p>
    <w:p w14:paraId="705306B8" w14:textId="77777777" w:rsidR="006B4DD6" w:rsidRPr="00966274" w:rsidRDefault="006B4DD6" w:rsidP="00966274">
      <w:pPr>
        <w:pStyle w:val="FootnoteText"/>
        <w:ind w:left="720" w:hanging="720"/>
      </w:pPr>
    </w:p>
    <w:p w14:paraId="1EF8FAC8" w14:textId="77777777" w:rsidR="00F570D0" w:rsidRPr="00966274" w:rsidRDefault="00F570D0" w:rsidP="007F4401">
      <w:pPr>
        <w:pStyle w:val="FootnoteText"/>
        <w:ind w:left="720" w:hanging="720"/>
        <w:outlineLvl w:val="0"/>
      </w:pPr>
      <w:r w:rsidRPr="00966274">
        <w:t xml:space="preserve">Cotgrave, Randle. </w:t>
      </w:r>
      <w:r w:rsidRPr="00966274">
        <w:rPr>
          <w:i/>
        </w:rPr>
        <w:t>A Dictionarie of the French and English Tongues</w:t>
      </w:r>
      <w:r w:rsidRPr="00966274">
        <w:t>. London: Adam Islip, 1611</w:t>
      </w:r>
    </w:p>
    <w:p w14:paraId="5DC189BE" w14:textId="77777777" w:rsidR="00F570D0" w:rsidRPr="00966274" w:rsidRDefault="00F570D0" w:rsidP="00966274">
      <w:pPr>
        <w:pStyle w:val="FootnoteText"/>
        <w:ind w:left="720" w:hanging="720"/>
      </w:pPr>
    </w:p>
    <w:p w14:paraId="79A6D4CD" w14:textId="6B6ED15C" w:rsidR="00F570D0" w:rsidRPr="00966274" w:rsidRDefault="00F570D0" w:rsidP="00966274">
      <w:pPr>
        <w:pStyle w:val="FootnoteText"/>
        <w:ind w:left="720" w:hanging="720"/>
      </w:pPr>
      <w:r w:rsidRPr="00966274">
        <w:t xml:space="preserve">Eamon, William. </w:t>
      </w:r>
      <w:r w:rsidRPr="00966274">
        <w:rPr>
          <w:i/>
        </w:rPr>
        <w:t>Science and the Secrets of Nature: Books of Secrets in Medieval and Early Modern Visual Culture</w:t>
      </w:r>
      <w:r w:rsidRPr="00966274">
        <w:t>. Princeton, N.J.: Princeton University Press, 1994.</w:t>
      </w:r>
    </w:p>
    <w:p w14:paraId="415782DA" w14:textId="77777777" w:rsidR="00F570D0" w:rsidRPr="00966274" w:rsidRDefault="00F570D0" w:rsidP="00966274">
      <w:pPr>
        <w:ind w:left="720" w:hanging="720"/>
      </w:pPr>
    </w:p>
    <w:p w14:paraId="44E00893" w14:textId="77777777" w:rsidR="00F570D0" w:rsidRPr="00966274" w:rsidRDefault="00F570D0" w:rsidP="00966274">
      <w:pPr>
        <w:pStyle w:val="FootnoteText"/>
        <w:ind w:left="720" w:hanging="720"/>
      </w:pPr>
      <w:r w:rsidRPr="00966274">
        <w:t xml:space="preserve">Macrakis, Kristie. </w:t>
      </w:r>
      <w:r w:rsidRPr="00966274">
        <w:rPr>
          <w:i/>
        </w:rPr>
        <w:t>Prisoners, Lovers, and Spies: The Story of Invisible Ink from Herodotus to al-Qaeda</w:t>
      </w:r>
      <w:r w:rsidRPr="00966274">
        <w:t>. New Haven: Yale University Press, 2014.</w:t>
      </w:r>
    </w:p>
    <w:p w14:paraId="3D3C1435" w14:textId="77777777" w:rsidR="00F570D0" w:rsidRPr="00966274" w:rsidRDefault="00F570D0" w:rsidP="00966274">
      <w:pPr>
        <w:ind w:left="720" w:hanging="720"/>
      </w:pPr>
    </w:p>
    <w:p w14:paraId="13D2748A" w14:textId="77777777" w:rsidR="006B4DD6" w:rsidRDefault="00F570D0" w:rsidP="00966274">
      <w:pPr>
        <w:pStyle w:val="FootnoteText"/>
        <w:ind w:left="720" w:hanging="720"/>
      </w:pPr>
      <w:r w:rsidRPr="00966274">
        <w:t xml:space="preserve">Merrifield, Mary. </w:t>
      </w:r>
      <w:r w:rsidRPr="00966274">
        <w:rPr>
          <w:i/>
        </w:rPr>
        <w:t>Medieval and Renaissance Treatises on the Arts of Painting</w:t>
      </w:r>
      <w:r w:rsidRPr="00966274">
        <w:t>. New</w:t>
      </w:r>
      <w:r w:rsidR="006B4DD6">
        <w:t xml:space="preserve"> York: Dover Publications, 1967.</w:t>
      </w:r>
    </w:p>
    <w:p w14:paraId="15DF223C" w14:textId="77777777" w:rsidR="00F570D0" w:rsidRPr="00966274" w:rsidRDefault="00F570D0" w:rsidP="00966274">
      <w:pPr>
        <w:pStyle w:val="FootnoteText"/>
        <w:ind w:left="720" w:hanging="720"/>
      </w:pPr>
    </w:p>
    <w:p w14:paraId="6FAA1830" w14:textId="77777777" w:rsidR="00F570D0" w:rsidRPr="00966274" w:rsidRDefault="00F570D0" w:rsidP="00966274">
      <w:pPr>
        <w:ind w:left="720" w:hanging="720"/>
      </w:pPr>
      <w:r w:rsidRPr="00966274">
        <w:rPr>
          <w:rFonts w:eastAsia="Times New Roman" w:cs="Times New Roman"/>
          <w:color w:val="222222"/>
          <w:shd w:val="clear" w:color="auto" w:fill="FFFFFF"/>
        </w:rPr>
        <w:t>Piemontese, Alessio. </w:t>
      </w:r>
      <w:r w:rsidRPr="00966274">
        <w:rPr>
          <w:rFonts w:eastAsia="Times New Roman" w:cs="Times New Roman"/>
          <w:i/>
          <w:iCs/>
          <w:color w:val="222222"/>
          <w:shd w:val="clear" w:color="auto" w:fill="FFFFFF"/>
        </w:rPr>
        <w:t>Secreti del Reverendo Donno Alessio Piemontese</w:t>
      </w:r>
      <w:r w:rsidRPr="00966274">
        <w:rPr>
          <w:rFonts w:eastAsia="Times New Roman" w:cs="Times New Roman"/>
          <w:color w:val="222222"/>
          <w:shd w:val="clear" w:color="auto" w:fill="FFFFFF"/>
        </w:rPr>
        <w:t>. Venice: Sigismondo Bondogna, 1555.</w:t>
      </w:r>
    </w:p>
    <w:p w14:paraId="44BB73C3" w14:textId="77777777" w:rsidR="00F570D0" w:rsidRPr="00966274" w:rsidRDefault="00F570D0" w:rsidP="00966274">
      <w:pPr>
        <w:pStyle w:val="FootnoteText"/>
        <w:ind w:left="720" w:hanging="720"/>
      </w:pPr>
    </w:p>
    <w:p w14:paraId="06A8EE04" w14:textId="77777777" w:rsidR="00F570D0" w:rsidRPr="00966274" w:rsidRDefault="00F570D0" w:rsidP="00966274">
      <w:pPr>
        <w:pStyle w:val="FootnoteText"/>
        <w:ind w:left="720" w:hanging="720"/>
      </w:pPr>
      <w:r w:rsidRPr="00966274">
        <w:t xml:space="preserve">Wheeler, Jo. </w:t>
      </w:r>
      <w:r w:rsidRPr="00966274">
        <w:rPr>
          <w:i/>
        </w:rPr>
        <w:t>Renaissance Secrets: Recipes &amp; Formulas</w:t>
      </w:r>
      <w:r w:rsidRPr="00966274">
        <w:t>. London: V&amp;A Publishing, 2009.</w:t>
      </w:r>
    </w:p>
    <w:p w14:paraId="3641B9A1" w14:textId="77777777" w:rsidR="00F570D0" w:rsidRPr="00F570D0" w:rsidRDefault="00F570D0" w:rsidP="00975A0F">
      <w:pPr>
        <w:spacing w:line="480" w:lineRule="auto"/>
      </w:pPr>
    </w:p>
    <w:sectPr w:rsidR="00F570D0" w:rsidRPr="00F570D0" w:rsidSect="00DC3F5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4A05B" w14:textId="77777777" w:rsidR="00F16DEA" w:rsidRDefault="00F16DEA" w:rsidP="004B7477">
      <w:r>
        <w:separator/>
      </w:r>
    </w:p>
  </w:endnote>
  <w:endnote w:type="continuationSeparator" w:id="0">
    <w:p w14:paraId="75676A31" w14:textId="77777777" w:rsidR="00F16DEA" w:rsidRDefault="00F16DEA" w:rsidP="004B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egoe UI">
    <w:altName w:val="Courier New"/>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EBA4F" w14:textId="77777777" w:rsidR="00F16DEA" w:rsidRDefault="00F16DEA" w:rsidP="004B7477">
      <w:r>
        <w:separator/>
      </w:r>
    </w:p>
  </w:footnote>
  <w:footnote w:type="continuationSeparator" w:id="0">
    <w:p w14:paraId="0AC53349" w14:textId="77777777" w:rsidR="00F16DEA" w:rsidRDefault="00F16DEA" w:rsidP="004B7477">
      <w:r>
        <w:continuationSeparator/>
      </w:r>
    </w:p>
  </w:footnote>
  <w:footnote w:id="1">
    <w:p w14:paraId="3A441C61" w14:textId="2B46A44A" w:rsidR="00F16DEA" w:rsidRPr="007869B1" w:rsidRDefault="00F16DEA">
      <w:pPr>
        <w:pStyle w:val="FootnoteText"/>
        <w:rPr>
          <w:sz w:val="22"/>
          <w:szCs w:val="22"/>
        </w:rPr>
      </w:pPr>
      <w:r w:rsidRPr="007869B1">
        <w:rPr>
          <w:rStyle w:val="FootnoteReference"/>
          <w:sz w:val="22"/>
          <w:szCs w:val="22"/>
        </w:rPr>
        <w:footnoteRef/>
      </w:r>
      <w:r w:rsidRPr="007869B1">
        <w:rPr>
          <w:sz w:val="22"/>
          <w:szCs w:val="22"/>
        </w:rPr>
        <w:t xml:space="preserve"> “</w:t>
      </w:r>
      <w:r w:rsidRPr="007869B1">
        <w:rPr>
          <w:i/>
          <w:sz w:val="22"/>
          <w:szCs w:val="22"/>
        </w:rPr>
        <w:t>bien gommée.</w:t>
      </w:r>
      <w:r w:rsidRPr="007869B1">
        <w:rPr>
          <w:sz w:val="22"/>
          <w:szCs w:val="22"/>
        </w:rPr>
        <w:t xml:space="preserve">” In modern French the verb </w:t>
      </w:r>
      <w:r w:rsidRPr="007869B1">
        <w:rPr>
          <w:i/>
          <w:sz w:val="22"/>
          <w:szCs w:val="22"/>
        </w:rPr>
        <w:t>gommer</w:t>
      </w:r>
      <w:r w:rsidRPr="007869B1">
        <w:rPr>
          <w:sz w:val="22"/>
          <w:szCs w:val="22"/>
        </w:rPr>
        <w:t xml:space="preserve"> is associated with the act of erasing, but in the sixteenth century, the past participle of this verb would have indication the addition of gum to a substance. In his French-English dictionary of 1611, Randle Cotgrave defines </w:t>
      </w:r>
      <w:r w:rsidRPr="007869B1">
        <w:rPr>
          <w:i/>
          <w:sz w:val="22"/>
          <w:szCs w:val="22"/>
        </w:rPr>
        <w:t xml:space="preserve">gommé </w:t>
      </w:r>
      <w:r w:rsidRPr="007869B1">
        <w:rPr>
          <w:sz w:val="22"/>
          <w:szCs w:val="22"/>
        </w:rPr>
        <w:t xml:space="preserve">as follows: “gummed, thickened, mixed, or seasoned with Gumme.” See the entry in Randle Cotgrave, </w:t>
      </w:r>
      <w:r w:rsidRPr="007869B1">
        <w:rPr>
          <w:i/>
          <w:sz w:val="22"/>
          <w:szCs w:val="22"/>
        </w:rPr>
        <w:t>A Dictionarie of the French and English Tongues</w:t>
      </w:r>
      <w:r w:rsidRPr="007869B1">
        <w:rPr>
          <w:sz w:val="22"/>
          <w:szCs w:val="22"/>
        </w:rPr>
        <w:t xml:space="preserve"> (London: Adam Islip, 1611).</w:t>
      </w:r>
    </w:p>
  </w:footnote>
  <w:footnote w:id="2">
    <w:p w14:paraId="20DC463A" w14:textId="020D1390"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Bibliothèque Nationale de France, Paris, Ms. Fr. 640 (henceforth cited as BnF Ms. Fr. 640), fol. 131r.</w:t>
      </w:r>
    </w:p>
  </w:footnote>
  <w:footnote w:id="3">
    <w:p w14:paraId="1CECC3C5" w14:textId="77777777" w:rsidR="00F16DEA" w:rsidRPr="002A3D67" w:rsidRDefault="00F16DEA" w:rsidP="00ED39D6">
      <w:pPr>
        <w:pStyle w:val="FootnoteText"/>
        <w:rPr>
          <w:sz w:val="22"/>
          <w:szCs w:val="22"/>
        </w:rPr>
      </w:pPr>
      <w:r w:rsidRPr="002A3D67">
        <w:rPr>
          <w:rStyle w:val="FootnoteReference"/>
          <w:sz w:val="22"/>
          <w:szCs w:val="22"/>
        </w:rPr>
        <w:footnoteRef/>
      </w:r>
      <w:r w:rsidRPr="002A3D67">
        <w:rPr>
          <w:sz w:val="22"/>
          <w:szCs w:val="22"/>
        </w:rPr>
        <w:t xml:space="preserve"> Jo Wheeler, </w:t>
      </w:r>
      <w:r w:rsidRPr="002A3D67">
        <w:rPr>
          <w:i/>
          <w:sz w:val="22"/>
          <w:szCs w:val="22"/>
        </w:rPr>
        <w:t>Renaissance Secrets: Recipes &amp; Formulas</w:t>
      </w:r>
      <w:r w:rsidRPr="002A3D67">
        <w:rPr>
          <w:sz w:val="22"/>
          <w:szCs w:val="22"/>
        </w:rPr>
        <w:t xml:space="preserve"> (London: V&amp;A Publishing, 2009), 99.</w:t>
      </w:r>
    </w:p>
  </w:footnote>
  <w:footnote w:id="4">
    <w:p w14:paraId="794685B3" w14:textId="78EF2619"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On this genre, see especially William Eamon, </w:t>
      </w:r>
      <w:r w:rsidRPr="002A3D67">
        <w:rPr>
          <w:i/>
          <w:sz w:val="22"/>
          <w:szCs w:val="22"/>
        </w:rPr>
        <w:t>Science and the Secrets of Nature: Books of Secrets in Medieval and Early Modern Visual Culture</w:t>
      </w:r>
      <w:r w:rsidRPr="002A3D67">
        <w:rPr>
          <w:sz w:val="22"/>
          <w:szCs w:val="22"/>
        </w:rPr>
        <w:t xml:space="preserve"> (Princeton, N.J.: Princeton University Press, 1994).</w:t>
      </w:r>
    </w:p>
  </w:footnote>
  <w:footnote w:id="5">
    <w:p w14:paraId="24A97B04" w14:textId="18FD02DC" w:rsidR="00F16DEA" w:rsidRPr="002A3D67" w:rsidRDefault="00F16DEA" w:rsidP="00EE7005">
      <w:pPr>
        <w:rPr>
          <w:rFonts w:ascii="Times" w:eastAsia="Times New Roman" w:hAnsi="Times" w:cs="Times New Roman"/>
          <w:sz w:val="22"/>
          <w:szCs w:val="22"/>
        </w:rPr>
      </w:pPr>
      <w:r w:rsidRPr="002A3D67">
        <w:rPr>
          <w:rStyle w:val="FootnoteReference"/>
          <w:sz w:val="22"/>
          <w:szCs w:val="22"/>
        </w:rPr>
        <w:footnoteRef/>
      </w:r>
      <w:r w:rsidRPr="002A3D67">
        <w:rPr>
          <w:sz w:val="22"/>
          <w:szCs w:val="22"/>
        </w:rPr>
        <w:t xml:space="preserve"> </w:t>
      </w:r>
      <w:r w:rsidRPr="002A3D67">
        <w:rPr>
          <w:rFonts w:eastAsia="Times New Roman" w:cs="Times New Roman"/>
          <w:color w:val="222222"/>
          <w:sz w:val="22"/>
          <w:szCs w:val="22"/>
          <w:shd w:val="clear" w:color="auto" w:fill="FFFFFF"/>
        </w:rPr>
        <w:t>"</w:t>
      </w:r>
      <w:r w:rsidRPr="002A3D67">
        <w:rPr>
          <w:rFonts w:eastAsia="Times New Roman" w:cs="Times New Roman"/>
          <w:i/>
          <w:color w:val="222222"/>
          <w:sz w:val="22"/>
          <w:szCs w:val="22"/>
          <w:shd w:val="clear" w:color="auto" w:fill="FFFFFF"/>
        </w:rPr>
        <w:t>A fare inchiostro da scrivere che ne farete gran quantità, et prestissimo, et con pochissima spesa, et sarà perfetto. Et per fare ancora inchiostro da stampare</w:t>
      </w:r>
      <w:r w:rsidRPr="002A3D67">
        <w:rPr>
          <w:rFonts w:eastAsia="Times New Roman" w:cs="Times New Roman"/>
          <w:color w:val="222222"/>
          <w:sz w:val="22"/>
          <w:szCs w:val="22"/>
          <w:shd w:val="clear" w:color="auto" w:fill="FFFFFF"/>
        </w:rPr>
        <w:t>." The cheapness of the recipe derives from one's ability to eat the fish and save the gallbladder. See Alessio Piemontese, </w:t>
      </w:r>
      <w:r w:rsidRPr="002A3D67">
        <w:rPr>
          <w:rFonts w:eastAsia="Times New Roman" w:cs="Times New Roman"/>
          <w:i/>
          <w:iCs/>
          <w:color w:val="222222"/>
          <w:sz w:val="22"/>
          <w:szCs w:val="22"/>
          <w:shd w:val="clear" w:color="auto" w:fill="FFFFFF"/>
        </w:rPr>
        <w:t>Secreti del Reverendo Donno Alessio Piemontese</w:t>
      </w:r>
      <w:r w:rsidRPr="002A3D67">
        <w:rPr>
          <w:rFonts w:eastAsia="Times New Roman" w:cs="Times New Roman"/>
          <w:color w:val="222222"/>
          <w:sz w:val="22"/>
          <w:szCs w:val="22"/>
          <w:shd w:val="clear" w:color="auto" w:fill="FFFFFF"/>
        </w:rPr>
        <w:t> (Venice: Sigismondo Bondogna, 1555), 188.</w:t>
      </w:r>
    </w:p>
  </w:footnote>
  <w:footnote w:id="6">
    <w:p w14:paraId="7091E93D" w14:textId="19998C37" w:rsidR="00F16DEA" w:rsidRPr="002A3D67" w:rsidRDefault="00F16DEA" w:rsidP="00B85E9E">
      <w:pPr>
        <w:pStyle w:val="FootnoteText"/>
        <w:rPr>
          <w:sz w:val="22"/>
          <w:szCs w:val="22"/>
        </w:rPr>
      </w:pPr>
      <w:r w:rsidRPr="002A3D67">
        <w:rPr>
          <w:rStyle w:val="FootnoteReference"/>
          <w:sz w:val="22"/>
          <w:szCs w:val="22"/>
        </w:rPr>
        <w:footnoteRef/>
      </w:r>
      <w:r w:rsidRPr="002A3D67">
        <w:rPr>
          <w:sz w:val="22"/>
          <w:szCs w:val="22"/>
        </w:rPr>
        <w:t xml:space="preserve"> Wheeler, </w:t>
      </w:r>
      <w:r w:rsidRPr="002A3D67">
        <w:rPr>
          <w:i/>
          <w:sz w:val="22"/>
          <w:szCs w:val="22"/>
        </w:rPr>
        <w:t>Renaissance Secrets</w:t>
      </w:r>
      <w:r w:rsidRPr="002A3D67">
        <w:rPr>
          <w:sz w:val="22"/>
          <w:szCs w:val="22"/>
        </w:rPr>
        <w:t>, 99.</w:t>
      </w:r>
    </w:p>
  </w:footnote>
  <w:footnote w:id="7">
    <w:p w14:paraId="77058FB4" w14:textId="3E9D17A1"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A recipe in the manuscript on fol. 51r refers to the use of “</w:t>
      </w:r>
      <w:r w:rsidRPr="002A3D67">
        <w:rPr>
          <w:i/>
          <w:sz w:val="22"/>
          <w:szCs w:val="22"/>
        </w:rPr>
        <w:t>eau bien gommée</w:t>
      </w:r>
      <w:r w:rsidRPr="002A3D67">
        <w:rPr>
          <w:sz w:val="22"/>
          <w:szCs w:val="22"/>
        </w:rPr>
        <w:t>” to coat a stone on which to rub paper. This was presumably water with gum arabic added.</w:t>
      </w:r>
    </w:p>
  </w:footnote>
  <w:footnote w:id="8">
    <w:p w14:paraId="211DDDAF" w14:textId="37226BB3"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This recipe is titled “Cutters of printing plates.” It is unclear whether this recipe refers to the use of an engraved or an etched plate, and the process could presumably be used for either type of process.</w:t>
      </w:r>
    </w:p>
  </w:footnote>
  <w:footnote w:id="9">
    <w:p w14:paraId="1B232A4C" w14:textId="6E171495" w:rsidR="00F16DEA" w:rsidRPr="002A3D67" w:rsidRDefault="00F16DEA" w:rsidP="00923F3A">
      <w:pPr>
        <w:rPr>
          <w:rFonts w:ascii="Times" w:hAnsi="Times" w:cs="Times New Roman"/>
          <w:sz w:val="22"/>
          <w:szCs w:val="22"/>
        </w:rPr>
      </w:pPr>
      <w:r w:rsidRPr="002A3D67">
        <w:rPr>
          <w:rStyle w:val="FootnoteReference"/>
          <w:sz w:val="22"/>
          <w:szCs w:val="22"/>
        </w:rPr>
        <w:footnoteRef/>
      </w:r>
      <w:r w:rsidRPr="002A3D67">
        <w:rPr>
          <w:sz w:val="22"/>
          <w:szCs w:val="22"/>
        </w:rPr>
        <w:t xml:space="preserve"> “</w:t>
      </w:r>
      <w:r w:rsidRPr="002A3D67">
        <w:rPr>
          <w:rFonts w:cs="Times New Roman"/>
          <w:i/>
          <w:color w:val="000000"/>
          <w:sz w:val="22"/>
          <w:szCs w:val="22"/>
        </w:rPr>
        <w:t xml:space="preserve">qui ne se d’efface point estant mouillé </w:t>
      </w:r>
      <w:r w:rsidRPr="002A3D67">
        <w:rPr>
          <w:rFonts w:cs="Times New Roman"/>
          <w:bCs/>
          <w:i/>
          <w:color w:val="000000"/>
          <w:sz w:val="22"/>
          <w:szCs w:val="22"/>
        </w:rPr>
        <w:t>d’eau de vye</w:t>
      </w:r>
      <w:r w:rsidRPr="002A3D67">
        <w:rPr>
          <w:rFonts w:cs="Times New Roman"/>
          <w:bCs/>
          <w:color w:val="000000"/>
          <w:sz w:val="22"/>
          <w:szCs w:val="22"/>
        </w:rPr>
        <w:t>”</w:t>
      </w:r>
    </w:p>
  </w:footnote>
  <w:footnote w:id="10">
    <w:p w14:paraId="76321F47" w14:textId="73EA821A" w:rsidR="00F16DEA" w:rsidRPr="002A3D67" w:rsidRDefault="00F16DEA" w:rsidP="003E57E6">
      <w:pPr>
        <w:rPr>
          <w:rFonts w:cs="Times New Roman"/>
          <w:sz w:val="22"/>
          <w:szCs w:val="22"/>
        </w:rPr>
      </w:pPr>
      <w:r w:rsidRPr="002A3D67">
        <w:rPr>
          <w:rStyle w:val="FootnoteReference"/>
          <w:rFonts w:cs="Times New Roman"/>
          <w:sz w:val="22"/>
          <w:szCs w:val="22"/>
        </w:rPr>
        <w:footnoteRef/>
      </w:r>
      <w:r w:rsidRPr="002A3D67">
        <w:rPr>
          <w:rFonts w:cs="Times New Roman"/>
          <w:sz w:val="22"/>
          <w:szCs w:val="22"/>
        </w:rPr>
        <w:t xml:space="preserve"> In a marginal note to the recipe on fol. 142r for casting very thin objects, the author writes: “</w:t>
      </w:r>
      <w:r w:rsidRPr="002A3D67">
        <w:rPr>
          <w:rFonts w:cs="Times New Roman"/>
          <w:color w:val="1D1D1D"/>
          <w:sz w:val="22"/>
          <w:szCs w:val="22"/>
        </w:rPr>
        <w:t xml:space="preserve">If you write on paper or on cardboard, and your piece of writing has been made with gum, the wetness of the clay pack or of the soaked sand for the </w:t>
      </w:r>
      <w:r w:rsidRPr="002A3D67">
        <w:rPr>
          <w:rFonts w:cs="Times New Roman"/>
          <w:i/>
          <w:color w:val="1D1D1D"/>
          <w:sz w:val="22"/>
          <w:szCs w:val="22"/>
        </w:rPr>
        <w:t>noyau</w:t>
      </w:r>
      <w:r w:rsidRPr="002A3D67">
        <w:rPr>
          <w:rFonts w:cs="Times New Roman"/>
          <w:color w:val="1D1D1D"/>
          <w:sz w:val="22"/>
          <w:szCs w:val="22"/>
        </w:rPr>
        <w:t xml:space="preserve"> will moisten it [and] ruin it. Thus, write with cinnabar mixed with oil, on oiled and stamped paper.”</w:t>
      </w:r>
    </w:p>
  </w:footnote>
  <w:footnote w:id="11">
    <w:p w14:paraId="6FC0445B" w14:textId="0D794B7E"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For example, the manuscript calls for using gum arabic in the makin</w:t>
      </w:r>
      <w:r>
        <w:rPr>
          <w:sz w:val="22"/>
          <w:szCs w:val="22"/>
        </w:rPr>
        <w:t>g of yellow varnish (fol. 74v).</w:t>
      </w:r>
    </w:p>
  </w:footnote>
  <w:footnote w:id="12">
    <w:p w14:paraId="3CE8F4F0" w14:textId="51BD24B5" w:rsidR="00F16DEA" w:rsidRPr="002A3D67" w:rsidRDefault="00F16DEA">
      <w:pPr>
        <w:pStyle w:val="FootnoteText"/>
        <w:rPr>
          <w:rFonts w:cs="Times New Roman"/>
          <w:sz w:val="22"/>
          <w:szCs w:val="22"/>
        </w:rPr>
      </w:pPr>
      <w:r w:rsidRPr="002A3D67">
        <w:rPr>
          <w:rStyle w:val="FootnoteReference"/>
          <w:rFonts w:cs="Times New Roman"/>
          <w:sz w:val="22"/>
          <w:szCs w:val="22"/>
        </w:rPr>
        <w:footnoteRef/>
      </w:r>
      <w:r w:rsidRPr="002A3D67">
        <w:rPr>
          <w:rFonts w:cs="Times New Roman"/>
          <w:sz w:val="22"/>
          <w:szCs w:val="22"/>
        </w:rPr>
        <w:t xml:space="preserve"> In a note adjacent to the recipe “Painting big figures” on fol. 65v, the author writes: “</w:t>
      </w:r>
      <w:r w:rsidRPr="002A3D67">
        <w:rPr>
          <w:rFonts w:eastAsia="Times New Roman" w:cs="Times New Roman"/>
          <w:color w:val="000000"/>
          <w:sz w:val="22"/>
          <w:szCs w:val="22"/>
        </w:rPr>
        <w:t>Illuminators who paint over sheets of paper, dilute their colors with gum. They mix gum with a bit of soap, this way colors run better.”</w:t>
      </w:r>
    </w:p>
  </w:footnote>
  <w:footnote w:id="13">
    <w:p w14:paraId="0524579E" w14:textId="61DEADFE"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Tragacanth gum could not only be used for making paints, but also for art objects that required greater volume, such as stucco and sugar sculptures. See Mary Merrifield, </w:t>
      </w:r>
      <w:r w:rsidRPr="002A3D67">
        <w:rPr>
          <w:i/>
          <w:sz w:val="22"/>
          <w:szCs w:val="22"/>
        </w:rPr>
        <w:t>Medieval and Renaissance Treatises on the Arts of Painting</w:t>
      </w:r>
      <w:r w:rsidRPr="002A3D67">
        <w:rPr>
          <w:sz w:val="22"/>
          <w:szCs w:val="22"/>
        </w:rPr>
        <w:t xml:space="preserve"> (New York: Dover Publications, 1967), 1,</w:t>
      </w:r>
      <w:r w:rsidRPr="002A3D67">
        <w:rPr>
          <w:i/>
          <w:sz w:val="22"/>
          <w:szCs w:val="22"/>
        </w:rPr>
        <w:t xml:space="preserve"> </w:t>
      </w:r>
      <w:r w:rsidRPr="002A3D67">
        <w:rPr>
          <w:sz w:val="22"/>
          <w:szCs w:val="22"/>
        </w:rPr>
        <w:t xml:space="preserve">362, 484, 494; Marina Belozerskaya, </w:t>
      </w:r>
      <w:r w:rsidRPr="002A3D67">
        <w:rPr>
          <w:i/>
          <w:sz w:val="22"/>
          <w:szCs w:val="22"/>
        </w:rPr>
        <w:t>Luxury Arts of the Renaissance</w:t>
      </w:r>
      <w:r w:rsidRPr="002A3D67">
        <w:rPr>
          <w:sz w:val="22"/>
          <w:szCs w:val="22"/>
        </w:rPr>
        <w:t xml:space="preserve"> (Los Angeles: J. Paul Getty Museum, 2005), 246.</w:t>
      </w:r>
    </w:p>
  </w:footnote>
  <w:footnote w:id="14">
    <w:p w14:paraId="171676DF" w14:textId="4AFF664D" w:rsidR="00F16DEA" w:rsidRPr="002A3D67" w:rsidRDefault="00F16DEA" w:rsidP="00A47CE4">
      <w:pPr>
        <w:rPr>
          <w:sz w:val="22"/>
          <w:szCs w:val="22"/>
        </w:rPr>
      </w:pPr>
      <w:r w:rsidRPr="002A3D67">
        <w:rPr>
          <w:rStyle w:val="FootnoteReference"/>
          <w:sz w:val="22"/>
          <w:szCs w:val="22"/>
        </w:rPr>
        <w:footnoteRef/>
      </w:r>
      <w:r w:rsidRPr="002A3D67">
        <w:rPr>
          <w:sz w:val="22"/>
          <w:szCs w:val="22"/>
        </w:rPr>
        <w:t xml:space="preserve"> Corresponding with Timothy Barrett at the University of Iowa’s Center for the Book, we decided that the best type of paper to use for this recipe would be gelatin-sized sheets made of hemp and cotton fiber. These sheets are typically used in the care and conservation of rare books from the period, thus they would have a comparable effect with regard to adherence to the ink. The sheets we received, according to Mr. Barrett’s email correspondence, were “50-50 hemp and cotton, heavy weight for a book paper, and third quality.”</w:t>
      </w:r>
    </w:p>
  </w:footnote>
  <w:footnote w:id="15">
    <w:p w14:paraId="2C8535B7" w14:textId="0DD483DF"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In his French-English dictionary of 1611, Randle Cotgrave defines Ardille as “clay, loame, tough mold.” See the entry in Cotgrave, </w:t>
      </w:r>
      <w:r w:rsidRPr="002A3D67">
        <w:rPr>
          <w:i/>
          <w:sz w:val="22"/>
          <w:szCs w:val="22"/>
        </w:rPr>
        <w:t>A Dictionarie of the French and English Tongues</w:t>
      </w:r>
      <w:r w:rsidRPr="002A3D67">
        <w:rPr>
          <w:sz w:val="22"/>
          <w:szCs w:val="22"/>
        </w:rPr>
        <w:t>.</w:t>
      </w:r>
    </w:p>
  </w:footnote>
  <w:footnote w:id="16">
    <w:p w14:paraId="7C06E174" w14:textId="30D07869" w:rsidR="00F16DEA" w:rsidRPr="002A3D67" w:rsidRDefault="00F16DEA">
      <w:pPr>
        <w:pStyle w:val="FootnoteText"/>
        <w:rPr>
          <w:sz w:val="22"/>
          <w:szCs w:val="22"/>
        </w:rPr>
      </w:pPr>
      <w:r w:rsidRPr="002A3D67">
        <w:rPr>
          <w:rStyle w:val="FootnoteReference"/>
          <w:sz w:val="22"/>
          <w:szCs w:val="22"/>
        </w:rPr>
        <w:footnoteRef/>
      </w:r>
      <w:r w:rsidRPr="002A3D67">
        <w:rPr>
          <w:sz w:val="22"/>
          <w:szCs w:val="22"/>
        </w:rPr>
        <w:t xml:space="preserve"> On the history of invisible ink since antiquity, see Kristie Macrakis, </w:t>
      </w:r>
      <w:r w:rsidRPr="002A3D67">
        <w:rPr>
          <w:i/>
          <w:sz w:val="22"/>
          <w:szCs w:val="22"/>
        </w:rPr>
        <w:t>Prisoners, Lovers, and Spies: The Story of Invisible Ink from Herodotus to al-Qaeda</w:t>
      </w:r>
      <w:r w:rsidRPr="002A3D67">
        <w:rPr>
          <w:sz w:val="22"/>
          <w:szCs w:val="22"/>
        </w:rPr>
        <w:t xml:space="preserve"> (New Haven: Yale University Press, 2014).</w:t>
      </w:r>
    </w:p>
  </w:footnote>
  <w:footnote w:id="17">
    <w:p w14:paraId="3B7C8B10" w14:textId="5743A041" w:rsidR="00F16DEA" w:rsidRPr="002A3D67" w:rsidRDefault="00F16DEA" w:rsidP="00A631EF">
      <w:pPr>
        <w:rPr>
          <w:sz w:val="22"/>
          <w:szCs w:val="22"/>
        </w:rPr>
      </w:pPr>
      <w:r w:rsidRPr="002A3D67">
        <w:rPr>
          <w:rStyle w:val="FootnoteReference"/>
          <w:sz w:val="22"/>
          <w:szCs w:val="22"/>
        </w:rPr>
        <w:footnoteRef/>
      </w:r>
      <w:r w:rsidRPr="002A3D67">
        <w:rPr>
          <w:sz w:val="22"/>
          <w:szCs w:val="22"/>
        </w:rPr>
        <w:t xml:space="preserve"> See fols. 154v-155r, as well as the “Annotation for BnF Ms. Fr. 640, fols. 129r; 155r; 155v:</w:t>
      </w:r>
    </w:p>
    <w:p w14:paraId="6170C8FC" w14:textId="76FE833D" w:rsidR="00F16DEA" w:rsidRPr="002A3D67" w:rsidRDefault="00F16DEA" w:rsidP="00A631EF">
      <w:pPr>
        <w:rPr>
          <w:b/>
          <w:sz w:val="22"/>
          <w:szCs w:val="22"/>
          <w:u w:val="single"/>
        </w:rPr>
      </w:pPr>
      <w:r w:rsidRPr="002A3D67">
        <w:rPr>
          <w:sz w:val="22"/>
          <w:szCs w:val="22"/>
        </w:rPr>
        <w:t>‘Molded Roses;’ ‘Molding a Rose;’ ‘Roses.’”</w:t>
      </w:r>
    </w:p>
  </w:footnote>
  <w:footnote w:id="18">
    <w:p w14:paraId="235BAB6E" w14:textId="4F7F7570" w:rsidR="00F16DEA" w:rsidRPr="002A3D67" w:rsidRDefault="00F16DEA">
      <w:pPr>
        <w:pStyle w:val="FootnoteText"/>
        <w:rPr>
          <w:rFonts w:cs="Times New Roman"/>
          <w:sz w:val="22"/>
          <w:szCs w:val="22"/>
        </w:rPr>
      </w:pPr>
      <w:r w:rsidRPr="002A3D67">
        <w:rPr>
          <w:rStyle w:val="FootnoteReference"/>
          <w:sz w:val="22"/>
          <w:szCs w:val="22"/>
        </w:rPr>
        <w:footnoteRef/>
      </w:r>
      <w:r w:rsidRPr="002A3D67">
        <w:rPr>
          <w:sz w:val="22"/>
          <w:szCs w:val="22"/>
        </w:rPr>
        <w:t xml:space="preserve"> This recipe is itself likely related </w:t>
      </w:r>
      <w:r w:rsidRPr="002A3D67">
        <w:rPr>
          <w:rFonts w:cs="Times New Roman"/>
          <w:sz w:val="22"/>
          <w:szCs w:val="22"/>
        </w:rPr>
        <w:t>to that on fol. 131r, as a marginal note (reproduced above in note 8) specifically discusses the likeliness of ink mixed with gum to run when moistened.</w:t>
      </w:r>
    </w:p>
  </w:footnote>
  <w:footnote w:id="19">
    <w:p w14:paraId="5CDC78B3" w14:textId="313B1D21" w:rsidR="00F16DEA" w:rsidRPr="002A3D67" w:rsidRDefault="00F16DEA">
      <w:pPr>
        <w:pStyle w:val="FootnoteText"/>
        <w:rPr>
          <w:sz w:val="22"/>
          <w:szCs w:val="22"/>
        </w:rPr>
      </w:pPr>
      <w:r w:rsidRPr="002A3D67">
        <w:rPr>
          <w:rStyle w:val="FootnoteReference"/>
          <w:rFonts w:cs="Times New Roman"/>
          <w:sz w:val="22"/>
          <w:szCs w:val="22"/>
        </w:rPr>
        <w:footnoteRef/>
      </w:r>
      <w:r w:rsidRPr="002A3D67">
        <w:rPr>
          <w:rFonts w:cs="Times New Roman"/>
          <w:sz w:val="22"/>
          <w:szCs w:val="22"/>
        </w:rPr>
        <w:t xml:space="preserve"> For another recipe that discusses adding thickness to insects’ wings before casting, see “Molding flies” on fol. 149r: “</w:t>
      </w:r>
      <w:r w:rsidRPr="002A3D67">
        <w:rPr>
          <w:rFonts w:cs="Times New Roman"/>
          <w:color w:val="000000"/>
          <w:sz w:val="22"/>
          <w:szCs w:val="22"/>
        </w:rPr>
        <w:t>Large flies can be molded &amp; cast. But you must grease them on top of their wings with wheat oil, which dries quickly and firms them up &amp; gives them a little thickness. The same is done with butterflies, cicadas, grasshoppers &amp; similar things.”</w:t>
      </w:r>
    </w:p>
  </w:footnote>
  <w:footnote w:id="20">
    <w:p w14:paraId="0B799D35" w14:textId="17554AB0" w:rsidR="00F16DEA" w:rsidRPr="002A3D67" w:rsidRDefault="00F16DEA">
      <w:pPr>
        <w:pStyle w:val="FootnoteText"/>
        <w:rPr>
          <w:sz w:val="22"/>
          <w:szCs w:val="22"/>
        </w:rPr>
      </w:pPr>
      <w:r w:rsidRPr="002A3D67">
        <w:rPr>
          <w:rStyle w:val="FootnoteReference"/>
          <w:rFonts w:cs="Times New Roman"/>
          <w:sz w:val="22"/>
          <w:szCs w:val="22"/>
        </w:rPr>
        <w:footnoteRef/>
      </w:r>
      <w:r w:rsidRPr="002A3D67">
        <w:rPr>
          <w:rFonts w:cs="Times New Roman"/>
          <w:sz w:val="22"/>
          <w:szCs w:val="22"/>
        </w:rPr>
        <w:t xml:space="preserve"> In the recipe on fol. 156v, “Moulding a fly,” the author writes: “</w:t>
      </w:r>
      <w:r w:rsidRPr="002A3D67">
        <w:rPr>
          <w:rFonts w:cs="Times New Roman"/>
          <w:color w:val="000000"/>
          <w:sz w:val="22"/>
          <w:szCs w:val="22"/>
        </w:rPr>
        <w:t>If it happens that you have some defects with your fly’s wings, hammer some very fine tin, or gold or silver, if you cast it, and shape with scissors the amount you need for your wings.”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2F86F" w14:textId="77777777" w:rsidR="00F16DEA" w:rsidRDefault="00F16DEA" w:rsidP="00BB6FB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A6905E" w14:textId="77777777" w:rsidR="00F16DEA" w:rsidRDefault="00F16DEA" w:rsidP="007B2AA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1A89F" w14:textId="77777777" w:rsidR="00F16DEA" w:rsidRDefault="00F16DEA" w:rsidP="00BB6FB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4171">
      <w:rPr>
        <w:rStyle w:val="PageNumber"/>
        <w:noProof/>
      </w:rPr>
      <w:t>1</w:t>
    </w:r>
    <w:r>
      <w:rPr>
        <w:rStyle w:val="PageNumber"/>
      </w:rPr>
      <w:fldChar w:fldCharType="end"/>
    </w:r>
  </w:p>
  <w:p w14:paraId="1D2DEE5D" w14:textId="3ACE9DA0" w:rsidR="00F16DEA" w:rsidRDefault="00F16DEA" w:rsidP="007B2AA3">
    <w:pPr>
      <w:pStyle w:val="Header"/>
      <w:ind w:right="360"/>
      <w:jc w:val="right"/>
    </w:pPr>
    <w:r>
      <w:t>Carlson and Katz</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mela H Smith">
    <w15:presenceInfo w15:providerId="None" w15:userId="Pamela H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477"/>
    <w:rsid w:val="00007782"/>
    <w:rsid w:val="00016643"/>
    <w:rsid w:val="000261E0"/>
    <w:rsid w:val="00037CC4"/>
    <w:rsid w:val="00045B46"/>
    <w:rsid w:val="000532A5"/>
    <w:rsid w:val="00053947"/>
    <w:rsid w:val="00057473"/>
    <w:rsid w:val="00065562"/>
    <w:rsid w:val="00066D4F"/>
    <w:rsid w:val="000709EA"/>
    <w:rsid w:val="00072669"/>
    <w:rsid w:val="00080C65"/>
    <w:rsid w:val="000827CC"/>
    <w:rsid w:val="00083D54"/>
    <w:rsid w:val="00084352"/>
    <w:rsid w:val="000B13AF"/>
    <w:rsid w:val="000B4C7C"/>
    <w:rsid w:val="00100430"/>
    <w:rsid w:val="00103BD9"/>
    <w:rsid w:val="00110DEA"/>
    <w:rsid w:val="00111EE5"/>
    <w:rsid w:val="00115721"/>
    <w:rsid w:val="00121537"/>
    <w:rsid w:val="00130BC9"/>
    <w:rsid w:val="00140255"/>
    <w:rsid w:val="00166C5A"/>
    <w:rsid w:val="001678B0"/>
    <w:rsid w:val="00177BA6"/>
    <w:rsid w:val="00181655"/>
    <w:rsid w:val="001B2830"/>
    <w:rsid w:val="001B4125"/>
    <w:rsid w:val="001B7E1C"/>
    <w:rsid w:val="001C5B69"/>
    <w:rsid w:val="001C7948"/>
    <w:rsid w:val="001F4574"/>
    <w:rsid w:val="00226240"/>
    <w:rsid w:val="00226FF1"/>
    <w:rsid w:val="002303FE"/>
    <w:rsid w:val="00232E04"/>
    <w:rsid w:val="00265F8D"/>
    <w:rsid w:val="00275FFB"/>
    <w:rsid w:val="002A3256"/>
    <w:rsid w:val="002A3D67"/>
    <w:rsid w:val="002A6012"/>
    <w:rsid w:val="002B101F"/>
    <w:rsid w:val="002B64AA"/>
    <w:rsid w:val="002B7D84"/>
    <w:rsid w:val="002C093C"/>
    <w:rsid w:val="002D0F5D"/>
    <w:rsid w:val="002E4B7A"/>
    <w:rsid w:val="002E6FD0"/>
    <w:rsid w:val="002F5EB6"/>
    <w:rsid w:val="00302D09"/>
    <w:rsid w:val="00303F1D"/>
    <w:rsid w:val="00305287"/>
    <w:rsid w:val="00322B14"/>
    <w:rsid w:val="00327589"/>
    <w:rsid w:val="003312A9"/>
    <w:rsid w:val="00332428"/>
    <w:rsid w:val="0033555D"/>
    <w:rsid w:val="00342DFE"/>
    <w:rsid w:val="00352EDC"/>
    <w:rsid w:val="003543DF"/>
    <w:rsid w:val="00370F3F"/>
    <w:rsid w:val="00375EA2"/>
    <w:rsid w:val="003829A8"/>
    <w:rsid w:val="00392551"/>
    <w:rsid w:val="003C057F"/>
    <w:rsid w:val="003C2F52"/>
    <w:rsid w:val="003C444D"/>
    <w:rsid w:val="003C54AC"/>
    <w:rsid w:val="003C5CFE"/>
    <w:rsid w:val="003D07FE"/>
    <w:rsid w:val="003D4A7D"/>
    <w:rsid w:val="003D5EF7"/>
    <w:rsid w:val="003E193E"/>
    <w:rsid w:val="003E1A9F"/>
    <w:rsid w:val="003E57E6"/>
    <w:rsid w:val="003E57F5"/>
    <w:rsid w:val="003E5929"/>
    <w:rsid w:val="003F6A54"/>
    <w:rsid w:val="003F6C83"/>
    <w:rsid w:val="003F764F"/>
    <w:rsid w:val="00404583"/>
    <w:rsid w:val="00410194"/>
    <w:rsid w:val="00411FC5"/>
    <w:rsid w:val="00414AB1"/>
    <w:rsid w:val="00422D9E"/>
    <w:rsid w:val="00423A6F"/>
    <w:rsid w:val="00445F70"/>
    <w:rsid w:val="004559E0"/>
    <w:rsid w:val="00463011"/>
    <w:rsid w:val="00464171"/>
    <w:rsid w:val="00473FDA"/>
    <w:rsid w:val="0047477F"/>
    <w:rsid w:val="004843E8"/>
    <w:rsid w:val="00492499"/>
    <w:rsid w:val="00493640"/>
    <w:rsid w:val="004B0550"/>
    <w:rsid w:val="004B7477"/>
    <w:rsid w:val="004C5470"/>
    <w:rsid w:val="004C5A09"/>
    <w:rsid w:val="004D2752"/>
    <w:rsid w:val="004E2046"/>
    <w:rsid w:val="004E7B8D"/>
    <w:rsid w:val="004E7E8E"/>
    <w:rsid w:val="004F4AD0"/>
    <w:rsid w:val="004F5521"/>
    <w:rsid w:val="00505F9B"/>
    <w:rsid w:val="0050734B"/>
    <w:rsid w:val="005136B7"/>
    <w:rsid w:val="00516AFE"/>
    <w:rsid w:val="005177D6"/>
    <w:rsid w:val="00522CFA"/>
    <w:rsid w:val="00535E04"/>
    <w:rsid w:val="00545723"/>
    <w:rsid w:val="0055435C"/>
    <w:rsid w:val="00554789"/>
    <w:rsid w:val="00573141"/>
    <w:rsid w:val="00573353"/>
    <w:rsid w:val="005768CE"/>
    <w:rsid w:val="00576BCA"/>
    <w:rsid w:val="00582570"/>
    <w:rsid w:val="005A0D6A"/>
    <w:rsid w:val="005A655A"/>
    <w:rsid w:val="005C55F9"/>
    <w:rsid w:val="005D2675"/>
    <w:rsid w:val="005D2ED9"/>
    <w:rsid w:val="005E2879"/>
    <w:rsid w:val="00600518"/>
    <w:rsid w:val="00600CC7"/>
    <w:rsid w:val="00602476"/>
    <w:rsid w:val="00605F39"/>
    <w:rsid w:val="0061274E"/>
    <w:rsid w:val="006165C8"/>
    <w:rsid w:val="0062172A"/>
    <w:rsid w:val="006222B4"/>
    <w:rsid w:val="00623D9B"/>
    <w:rsid w:val="0062471B"/>
    <w:rsid w:val="006335C7"/>
    <w:rsid w:val="00660840"/>
    <w:rsid w:val="00672254"/>
    <w:rsid w:val="00674AE5"/>
    <w:rsid w:val="0068480F"/>
    <w:rsid w:val="00687929"/>
    <w:rsid w:val="006922EE"/>
    <w:rsid w:val="006930DB"/>
    <w:rsid w:val="006B07DB"/>
    <w:rsid w:val="006B3964"/>
    <w:rsid w:val="006B4DD6"/>
    <w:rsid w:val="006B6C91"/>
    <w:rsid w:val="006C2B36"/>
    <w:rsid w:val="006C356B"/>
    <w:rsid w:val="006D0542"/>
    <w:rsid w:val="006D106B"/>
    <w:rsid w:val="006D1EF9"/>
    <w:rsid w:val="006E4A78"/>
    <w:rsid w:val="006E6AE3"/>
    <w:rsid w:val="006E6BD6"/>
    <w:rsid w:val="006F1F78"/>
    <w:rsid w:val="006F301A"/>
    <w:rsid w:val="006F36D2"/>
    <w:rsid w:val="006F4183"/>
    <w:rsid w:val="007025F7"/>
    <w:rsid w:val="00702D15"/>
    <w:rsid w:val="00703608"/>
    <w:rsid w:val="00713921"/>
    <w:rsid w:val="007246A4"/>
    <w:rsid w:val="00736819"/>
    <w:rsid w:val="007429E0"/>
    <w:rsid w:val="0074423A"/>
    <w:rsid w:val="0074448F"/>
    <w:rsid w:val="00766FFD"/>
    <w:rsid w:val="00780291"/>
    <w:rsid w:val="00780464"/>
    <w:rsid w:val="007869B1"/>
    <w:rsid w:val="007A36F8"/>
    <w:rsid w:val="007B2AA3"/>
    <w:rsid w:val="007B5E5D"/>
    <w:rsid w:val="007D1D23"/>
    <w:rsid w:val="007E2CDE"/>
    <w:rsid w:val="007E5FFE"/>
    <w:rsid w:val="007E6736"/>
    <w:rsid w:val="007F17C0"/>
    <w:rsid w:val="007F4401"/>
    <w:rsid w:val="007F5219"/>
    <w:rsid w:val="007F6713"/>
    <w:rsid w:val="00813C17"/>
    <w:rsid w:val="00816BFE"/>
    <w:rsid w:val="00817C03"/>
    <w:rsid w:val="00832AAF"/>
    <w:rsid w:val="00842239"/>
    <w:rsid w:val="00844353"/>
    <w:rsid w:val="00850235"/>
    <w:rsid w:val="008517E4"/>
    <w:rsid w:val="00852CDE"/>
    <w:rsid w:val="00866BBE"/>
    <w:rsid w:val="00886CC4"/>
    <w:rsid w:val="00887C60"/>
    <w:rsid w:val="00893D5A"/>
    <w:rsid w:val="008970B2"/>
    <w:rsid w:val="0089726F"/>
    <w:rsid w:val="008976DE"/>
    <w:rsid w:val="008C130A"/>
    <w:rsid w:val="008C539A"/>
    <w:rsid w:val="008C770E"/>
    <w:rsid w:val="008D111C"/>
    <w:rsid w:val="008D62CD"/>
    <w:rsid w:val="008E5EF4"/>
    <w:rsid w:val="008F41B0"/>
    <w:rsid w:val="008F70F0"/>
    <w:rsid w:val="00911C56"/>
    <w:rsid w:val="00915514"/>
    <w:rsid w:val="00923F3A"/>
    <w:rsid w:val="0095190A"/>
    <w:rsid w:val="00953EAC"/>
    <w:rsid w:val="00964163"/>
    <w:rsid w:val="00966274"/>
    <w:rsid w:val="009679A2"/>
    <w:rsid w:val="00972E14"/>
    <w:rsid w:val="00975A0F"/>
    <w:rsid w:val="00981BD9"/>
    <w:rsid w:val="009863A4"/>
    <w:rsid w:val="009A144C"/>
    <w:rsid w:val="009B2D15"/>
    <w:rsid w:val="009C603F"/>
    <w:rsid w:val="009D69E4"/>
    <w:rsid w:val="009F457B"/>
    <w:rsid w:val="00A0719D"/>
    <w:rsid w:val="00A118ED"/>
    <w:rsid w:val="00A1339E"/>
    <w:rsid w:val="00A14D08"/>
    <w:rsid w:val="00A20752"/>
    <w:rsid w:val="00A26C60"/>
    <w:rsid w:val="00A27142"/>
    <w:rsid w:val="00A3213B"/>
    <w:rsid w:val="00A327CE"/>
    <w:rsid w:val="00A36CCE"/>
    <w:rsid w:val="00A442A3"/>
    <w:rsid w:val="00A47CE4"/>
    <w:rsid w:val="00A60181"/>
    <w:rsid w:val="00A631EF"/>
    <w:rsid w:val="00A64EF4"/>
    <w:rsid w:val="00A75F6E"/>
    <w:rsid w:val="00A76672"/>
    <w:rsid w:val="00AA1770"/>
    <w:rsid w:val="00AA6B8C"/>
    <w:rsid w:val="00AB3CC3"/>
    <w:rsid w:val="00AB74EC"/>
    <w:rsid w:val="00AC4033"/>
    <w:rsid w:val="00AD3DCC"/>
    <w:rsid w:val="00AE6EBD"/>
    <w:rsid w:val="00AF3CB3"/>
    <w:rsid w:val="00B002EC"/>
    <w:rsid w:val="00B0074C"/>
    <w:rsid w:val="00B0598D"/>
    <w:rsid w:val="00B07E20"/>
    <w:rsid w:val="00B10CB0"/>
    <w:rsid w:val="00B62D78"/>
    <w:rsid w:val="00B62F41"/>
    <w:rsid w:val="00B85E9E"/>
    <w:rsid w:val="00B95728"/>
    <w:rsid w:val="00B96BD8"/>
    <w:rsid w:val="00BA08E2"/>
    <w:rsid w:val="00BA319B"/>
    <w:rsid w:val="00BA47FD"/>
    <w:rsid w:val="00BA5E04"/>
    <w:rsid w:val="00BB6FBC"/>
    <w:rsid w:val="00BC034B"/>
    <w:rsid w:val="00BC2669"/>
    <w:rsid w:val="00BD4B49"/>
    <w:rsid w:val="00BE46FA"/>
    <w:rsid w:val="00C127B3"/>
    <w:rsid w:val="00C401FF"/>
    <w:rsid w:val="00C444C9"/>
    <w:rsid w:val="00C67996"/>
    <w:rsid w:val="00C73AAA"/>
    <w:rsid w:val="00C8334C"/>
    <w:rsid w:val="00C92A61"/>
    <w:rsid w:val="00CA068D"/>
    <w:rsid w:val="00CA736A"/>
    <w:rsid w:val="00CB7400"/>
    <w:rsid w:val="00CD12DF"/>
    <w:rsid w:val="00CE4211"/>
    <w:rsid w:val="00CF044B"/>
    <w:rsid w:val="00D010D6"/>
    <w:rsid w:val="00D121EF"/>
    <w:rsid w:val="00D36474"/>
    <w:rsid w:val="00D61FB3"/>
    <w:rsid w:val="00D631FD"/>
    <w:rsid w:val="00D64C37"/>
    <w:rsid w:val="00D64C6E"/>
    <w:rsid w:val="00D662B8"/>
    <w:rsid w:val="00D67688"/>
    <w:rsid w:val="00D818A5"/>
    <w:rsid w:val="00D879AE"/>
    <w:rsid w:val="00DB5EC1"/>
    <w:rsid w:val="00DC3ACB"/>
    <w:rsid w:val="00DC3F59"/>
    <w:rsid w:val="00DC5602"/>
    <w:rsid w:val="00DD5443"/>
    <w:rsid w:val="00DE67A4"/>
    <w:rsid w:val="00DF184F"/>
    <w:rsid w:val="00DF1C19"/>
    <w:rsid w:val="00E029DA"/>
    <w:rsid w:val="00E06960"/>
    <w:rsid w:val="00E118F0"/>
    <w:rsid w:val="00E13059"/>
    <w:rsid w:val="00E32E7D"/>
    <w:rsid w:val="00E366FF"/>
    <w:rsid w:val="00E4553D"/>
    <w:rsid w:val="00E7579C"/>
    <w:rsid w:val="00E7761C"/>
    <w:rsid w:val="00E8181A"/>
    <w:rsid w:val="00E9043C"/>
    <w:rsid w:val="00EB44C3"/>
    <w:rsid w:val="00ED1396"/>
    <w:rsid w:val="00ED39D6"/>
    <w:rsid w:val="00EE3E0C"/>
    <w:rsid w:val="00EE7005"/>
    <w:rsid w:val="00EF0062"/>
    <w:rsid w:val="00EF3ED4"/>
    <w:rsid w:val="00F01AF7"/>
    <w:rsid w:val="00F0237C"/>
    <w:rsid w:val="00F150A0"/>
    <w:rsid w:val="00F16DEA"/>
    <w:rsid w:val="00F20289"/>
    <w:rsid w:val="00F25D17"/>
    <w:rsid w:val="00F3265F"/>
    <w:rsid w:val="00F329BB"/>
    <w:rsid w:val="00F36174"/>
    <w:rsid w:val="00F44A41"/>
    <w:rsid w:val="00F55835"/>
    <w:rsid w:val="00F570D0"/>
    <w:rsid w:val="00F664C9"/>
    <w:rsid w:val="00F67B84"/>
    <w:rsid w:val="00F74932"/>
    <w:rsid w:val="00F83368"/>
    <w:rsid w:val="00F97E68"/>
    <w:rsid w:val="00FA5751"/>
    <w:rsid w:val="00FA7CF8"/>
    <w:rsid w:val="00FB2043"/>
    <w:rsid w:val="00FB7DCF"/>
    <w:rsid w:val="00FC1A5A"/>
    <w:rsid w:val="00FC2E95"/>
    <w:rsid w:val="00FD148B"/>
    <w:rsid w:val="00FE0530"/>
    <w:rsid w:val="00FF3A9A"/>
    <w:rsid w:val="00FF7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0F3BF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303FE"/>
  </w:style>
  <w:style w:type="character" w:customStyle="1" w:styleId="FootnoteTextChar">
    <w:name w:val="Footnote Text Char"/>
    <w:basedOn w:val="DefaultParagraphFont"/>
    <w:link w:val="FootnoteText"/>
    <w:uiPriority w:val="99"/>
    <w:rsid w:val="002303FE"/>
  </w:style>
  <w:style w:type="character" w:styleId="FootnoteReference">
    <w:name w:val="footnote reference"/>
    <w:basedOn w:val="DefaultParagraphFont"/>
    <w:uiPriority w:val="99"/>
    <w:unhideWhenUsed/>
    <w:rsid w:val="004B7477"/>
    <w:rPr>
      <w:vertAlign w:val="superscript"/>
    </w:rPr>
  </w:style>
  <w:style w:type="paragraph" w:styleId="BalloonText">
    <w:name w:val="Balloon Text"/>
    <w:basedOn w:val="Normal"/>
    <w:link w:val="BalloonTextChar"/>
    <w:uiPriority w:val="99"/>
    <w:semiHidden/>
    <w:unhideWhenUsed/>
    <w:rsid w:val="00265F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F8D"/>
    <w:rPr>
      <w:rFonts w:ascii="Segoe UI" w:hAnsi="Segoe UI" w:cs="Segoe UI"/>
      <w:sz w:val="18"/>
      <w:szCs w:val="18"/>
    </w:rPr>
  </w:style>
  <w:style w:type="paragraph" w:styleId="NormalWeb">
    <w:name w:val="Normal (Web)"/>
    <w:basedOn w:val="Normal"/>
    <w:uiPriority w:val="99"/>
    <w:semiHidden/>
    <w:unhideWhenUsed/>
    <w:rsid w:val="0039255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7B2AA3"/>
    <w:pPr>
      <w:tabs>
        <w:tab w:val="center" w:pos="4320"/>
        <w:tab w:val="right" w:pos="8640"/>
      </w:tabs>
    </w:pPr>
  </w:style>
  <w:style w:type="character" w:customStyle="1" w:styleId="HeaderChar">
    <w:name w:val="Header Char"/>
    <w:basedOn w:val="DefaultParagraphFont"/>
    <w:link w:val="Header"/>
    <w:uiPriority w:val="99"/>
    <w:rsid w:val="007B2AA3"/>
  </w:style>
  <w:style w:type="paragraph" w:styleId="Footer">
    <w:name w:val="footer"/>
    <w:basedOn w:val="Normal"/>
    <w:link w:val="FooterChar"/>
    <w:uiPriority w:val="99"/>
    <w:unhideWhenUsed/>
    <w:rsid w:val="007B2AA3"/>
    <w:pPr>
      <w:tabs>
        <w:tab w:val="center" w:pos="4320"/>
        <w:tab w:val="right" w:pos="8640"/>
      </w:tabs>
    </w:pPr>
  </w:style>
  <w:style w:type="character" w:customStyle="1" w:styleId="FooterChar">
    <w:name w:val="Footer Char"/>
    <w:basedOn w:val="DefaultParagraphFont"/>
    <w:link w:val="Footer"/>
    <w:uiPriority w:val="99"/>
    <w:rsid w:val="007B2AA3"/>
  </w:style>
  <w:style w:type="character" w:styleId="PageNumber">
    <w:name w:val="page number"/>
    <w:basedOn w:val="DefaultParagraphFont"/>
    <w:uiPriority w:val="99"/>
    <w:semiHidden/>
    <w:unhideWhenUsed/>
    <w:rsid w:val="007B2A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303FE"/>
  </w:style>
  <w:style w:type="character" w:customStyle="1" w:styleId="FootnoteTextChar">
    <w:name w:val="Footnote Text Char"/>
    <w:basedOn w:val="DefaultParagraphFont"/>
    <w:link w:val="FootnoteText"/>
    <w:uiPriority w:val="99"/>
    <w:rsid w:val="002303FE"/>
  </w:style>
  <w:style w:type="character" w:styleId="FootnoteReference">
    <w:name w:val="footnote reference"/>
    <w:basedOn w:val="DefaultParagraphFont"/>
    <w:uiPriority w:val="99"/>
    <w:unhideWhenUsed/>
    <w:rsid w:val="004B7477"/>
    <w:rPr>
      <w:vertAlign w:val="superscript"/>
    </w:rPr>
  </w:style>
  <w:style w:type="paragraph" w:styleId="BalloonText">
    <w:name w:val="Balloon Text"/>
    <w:basedOn w:val="Normal"/>
    <w:link w:val="BalloonTextChar"/>
    <w:uiPriority w:val="99"/>
    <w:semiHidden/>
    <w:unhideWhenUsed/>
    <w:rsid w:val="00265F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F8D"/>
    <w:rPr>
      <w:rFonts w:ascii="Segoe UI" w:hAnsi="Segoe UI" w:cs="Segoe UI"/>
      <w:sz w:val="18"/>
      <w:szCs w:val="18"/>
    </w:rPr>
  </w:style>
  <w:style w:type="paragraph" w:styleId="NormalWeb">
    <w:name w:val="Normal (Web)"/>
    <w:basedOn w:val="Normal"/>
    <w:uiPriority w:val="99"/>
    <w:semiHidden/>
    <w:unhideWhenUsed/>
    <w:rsid w:val="0039255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7B2AA3"/>
    <w:pPr>
      <w:tabs>
        <w:tab w:val="center" w:pos="4320"/>
        <w:tab w:val="right" w:pos="8640"/>
      </w:tabs>
    </w:pPr>
  </w:style>
  <w:style w:type="character" w:customStyle="1" w:styleId="HeaderChar">
    <w:name w:val="Header Char"/>
    <w:basedOn w:val="DefaultParagraphFont"/>
    <w:link w:val="Header"/>
    <w:uiPriority w:val="99"/>
    <w:rsid w:val="007B2AA3"/>
  </w:style>
  <w:style w:type="paragraph" w:styleId="Footer">
    <w:name w:val="footer"/>
    <w:basedOn w:val="Normal"/>
    <w:link w:val="FooterChar"/>
    <w:uiPriority w:val="99"/>
    <w:unhideWhenUsed/>
    <w:rsid w:val="007B2AA3"/>
    <w:pPr>
      <w:tabs>
        <w:tab w:val="center" w:pos="4320"/>
        <w:tab w:val="right" w:pos="8640"/>
      </w:tabs>
    </w:pPr>
  </w:style>
  <w:style w:type="character" w:customStyle="1" w:styleId="FooterChar">
    <w:name w:val="Footer Char"/>
    <w:basedOn w:val="DefaultParagraphFont"/>
    <w:link w:val="Footer"/>
    <w:uiPriority w:val="99"/>
    <w:rsid w:val="007B2AA3"/>
  </w:style>
  <w:style w:type="character" w:styleId="PageNumber">
    <w:name w:val="page number"/>
    <w:basedOn w:val="DefaultParagraphFont"/>
    <w:uiPriority w:val="99"/>
    <w:semiHidden/>
    <w:unhideWhenUsed/>
    <w:rsid w:val="007B2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48174">
      <w:bodyDiv w:val="1"/>
      <w:marLeft w:val="0"/>
      <w:marRight w:val="0"/>
      <w:marTop w:val="0"/>
      <w:marBottom w:val="0"/>
      <w:divBdr>
        <w:top w:val="none" w:sz="0" w:space="0" w:color="auto"/>
        <w:left w:val="none" w:sz="0" w:space="0" w:color="auto"/>
        <w:bottom w:val="none" w:sz="0" w:space="0" w:color="auto"/>
        <w:right w:val="none" w:sz="0" w:space="0" w:color="auto"/>
      </w:divBdr>
    </w:div>
    <w:div w:id="1238248930">
      <w:bodyDiv w:val="1"/>
      <w:marLeft w:val="0"/>
      <w:marRight w:val="0"/>
      <w:marTop w:val="0"/>
      <w:marBottom w:val="0"/>
      <w:divBdr>
        <w:top w:val="none" w:sz="0" w:space="0" w:color="auto"/>
        <w:left w:val="none" w:sz="0" w:space="0" w:color="auto"/>
        <w:bottom w:val="none" w:sz="0" w:space="0" w:color="auto"/>
        <w:right w:val="none" w:sz="0" w:space="0" w:color="auto"/>
      </w:divBdr>
    </w:div>
    <w:div w:id="1807091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2702</Words>
  <Characters>12619</Characters>
  <Application>Microsoft Macintosh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Katz</dc:creator>
  <cp:keywords/>
  <dc:description/>
  <cp:lastModifiedBy>Raymond Carlson</cp:lastModifiedBy>
  <cp:revision>8</cp:revision>
  <cp:lastPrinted>2014-12-23T05:21:00Z</cp:lastPrinted>
  <dcterms:created xsi:type="dcterms:W3CDTF">2014-12-23T05:16:00Z</dcterms:created>
  <dcterms:modified xsi:type="dcterms:W3CDTF">2014-12-23T05:22:00Z</dcterms:modified>
</cp:coreProperties>
</file>